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DCE32">
      <w:pPr>
        <w:pStyle w:val="2"/>
        <w:jc w:val="center"/>
        <w:rPr>
          <w:rFonts w:hint="eastAsia" w:eastAsiaTheme="minorEastAsia"/>
          <w:b/>
          <w:bCs/>
          <w:shd w:val="clear" w:color="FFFFFF" w:fill="D9D9D9"/>
          <w:lang w:eastAsia="zh-CN"/>
        </w:rPr>
      </w:pPr>
      <w:r>
        <w:rPr>
          <w:rFonts w:hint="eastAsia"/>
        </w:rPr>
        <w:t>“</w:t>
      </w:r>
      <w:r>
        <w:t>跨境电商</w:t>
      </w:r>
      <w:r>
        <w:rPr>
          <w:rFonts w:hint="eastAsia"/>
        </w:rPr>
        <w:t>”</w:t>
      </w:r>
      <w:r>
        <w:t>微专业</w:t>
      </w:r>
      <w:r>
        <w:rPr>
          <w:rFonts w:hint="eastAsia"/>
          <w:lang w:eastAsia="zh-CN"/>
        </w:rPr>
        <w:t>招生简章</w:t>
      </w:r>
    </w:p>
    <w:p w14:paraId="754EFF41">
      <w:pPr>
        <w:pStyle w:val="7"/>
        <w:shd w:val="clear" w:color="auto" w:fill="FFFFFF"/>
        <w:spacing w:before="0" w:beforeAutospacing="0" w:after="0" w:afterAutospacing="0"/>
        <w:ind w:firstLine="482"/>
        <w:jc w:val="both"/>
        <w:rPr>
          <w:rFonts w:hint="eastAsia" w:ascii="Microsoft YaHei UI" w:hAnsi="Microsoft YaHei UI" w:eastAsia="Microsoft YaHei UI"/>
          <w:color w:val="34363C"/>
          <w:spacing w:val="15"/>
          <w:sz w:val="21"/>
          <w:szCs w:val="21"/>
          <w:lang w:eastAsia="zh-CN"/>
        </w:rPr>
      </w:pPr>
      <w:r>
        <w:rPr>
          <w:rFonts w:hint="eastAsia" w:ascii="Microsoft YaHei UI" w:hAnsi="Microsoft YaHei UI" w:eastAsia="Microsoft YaHei UI"/>
          <w:color w:val="34363C"/>
          <w:spacing w:val="15"/>
          <w:sz w:val="21"/>
          <w:szCs w:val="21"/>
        </w:rPr>
        <w:t>如今，全球贸易进入数字贸易新时代，作为外贸新业态和新模式，跨境电商代表着外贸的主流发展趋势和方向，国家高度重视跨境电商行业发展，不断出台政策给予支持，政策红利逐渐释放</w:t>
      </w:r>
      <w:r>
        <w:rPr>
          <w:rFonts w:hint="eastAsia" w:ascii="Microsoft YaHei UI" w:hAnsi="Microsoft YaHei UI" w:eastAsia="Microsoft YaHei UI"/>
          <w:color w:val="34363C"/>
          <w:spacing w:val="15"/>
          <w:sz w:val="21"/>
          <w:szCs w:val="21"/>
          <w:lang w:eastAsia="zh-CN"/>
        </w:rPr>
        <w:t>。</w:t>
      </w:r>
    </w:p>
    <w:p w14:paraId="04024EF2">
      <w:pPr>
        <w:pStyle w:val="7"/>
        <w:shd w:val="clear" w:color="auto" w:fill="FFFFFF"/>
        <w:spacing w:before="0" w:beforeAutospacing="0" w:after="0" w:afterAutospacing="0"/>
        <w:ind w:firstLine="482"/>
        <w:jc w:val="left"/>
        <w:rPr>
          <w:rFonts w:ascii="Microsoft YaHei UI" w:hAnsi="Microsoft YaHei UI" w:eastAsia="Microsoft YaHei UI"/>
          <w:color w:val="34363C"/>
          <w:spacing w:val="15"/>
          <w:sz w:val="21"/>
          <w:szCs w:val="21"/>
        </w:rPr>
      </w:pPr>
      <w:r>
        <w:rPr>
          <w:rFonts w:hint="eastAsia" w:ascii="Microsoft YaHei UI" w:hAnsi="Microsoft YaHei UI" w:eastAsia="Microsoft YaHei UI"/>
          <w:color w:val="34363C"/>
          <w:spacing w:val="15"/>
          <w:sz w:val="21"/>
          <w:szCs w:val="21"/>
        </w:rPr>
        <w:t>在信息技术发展和政策的双重驱动下，跨境电商持续高速发展，一大批跨境电商企业迅速成长，跨境电子商务人才需求急剧上升。</w:t>
      </w:r>
      <w:r>
        <w:rPr>
          <w:rFonts w:ascii="Microsoft YaHei UI" w:hAnsi="Microsoft YaHei UI" w:eastAsia="Microsoft YaHei UI"/>
          <w:color w:val="34363C"/>
          <w:spacing w:val="15"/>
          <w:sz w:val="21"/>
          <w:szCs w:val="21"/>
        </w:rPr>
        <w:drawing>
          <wp:inline distT="0" distB="0" distL="0" distR="0">
            <wp:extent cx="5161280" cy="3992245"/>
            <wp:effectExtent l="0" t="0" r="1270" b="8255"/>
            <wp:docPr id="7" name="图片 7" descr="C:\Users\Administrator\Documents\WeChat Files\wxid_50h6t9c69yjq21\FileStorage\Temp\dcbbc0264ea2da064ba4152628af00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ocuments\WeChat Files\wxid_50h6t9c69yjq21\FileStorage\Temp\dcbbc0264ea2da064ba4152628af004e.png"/>
                    <pic:cNvPicPr>
                      <a:picLocks noChangeAspect="1" noChangeArrowheads="1"/>
                    </pic:cNvPicPr>
                  </pic:nvPicPr>
                  <pic:blipFill>
                    <a:blip r:embed="rId4"/>
                    <a:srcRect/>
                    <a:stretch>
                      <a:fillRect/>
                    </a:stretch>
                  </pic:blipFill>
                  <pic:spPr>
                    <a:xfrm>
                      <a:off x="0" y="0"/>
                      <a:ext cx="5161280" cy="3992245"/>
                    </a:xfrm>
                    <a:prstGeom prst="rect">
                      <a:avLst/>
                    </a:prstGeom>
                    <a:noFill/>
                    <a:ln w="9525">
                      <a:noFill/>
                      <a:miter lim="800000"/>
                      <a:headEnd/>
                      <a:tailEnd/>
                    </a:ln>
                  </pic:spPr>
                </pic:pic>
              </a:graphicData>
            </a:graphic>
          </wp:inline>
        </w:drawing>
      </w:r>
    </w:p>
    <w:p w14:paraId="494744FA">
      <w:pPr>
        <w:pStyle w:val="13"/>
        <w:numPr>
          <w:ilvl w:val="0"/>
          <w:numId w:val="1"/>
        </w:numPr>
        <w:ind w:firstLineChars="0"/>
        <w:jc w:val="left"/>
        <w:rPr>
          <w:b/>
          <w:sz w:val="28"/>
          <w:szCs w:val="28"/>
        </w:rPr>
      </w:pPr>
      <w:r>
        <w:rPr>
          <w:b/>
          <w:sz w:val="28"/>
          <w:szCs w:val="28"/>
        </w:rPr>
        <w:t>专业特点</w:t>
      </w:r>
    </w:p>
    <w:p w14:paraId="5E0547BC">
      <w:pPr>
        <w:pStyle w:val="7"/>
        <w:shd w:val="clear" w:color="auto" w:fill="FFFFFF"/>
        <w:spacing w:before="0" w:beforeAutospacing="0" w:after="0" w:afterAutospacing="0"/>
        <w:ind w:firstLine="482"/>
        <w:jc w:val="both"/>
        <w:rPr>
          <w:rFonts w:ascii="Microsoft YaHei UI" w:hAnsi="Microsoft YaHei UI" w:eastAsia="Microsoft YaHei UI"/>
          <w:color w:val="34363C"/>
          <w:spacing w:val="15"/>
          <w:sz w:val="21"/>
          <w:szCs w:val="21"/>
        </w:rPr>
      </w:pPr>
      <w:r>
        <w:rPr>
          <w:rFonts w:hint="eastAsia" w:ascii="Microsoft YaHei UI" w:hAnsi="Microsoft YaHei UI" w:eastAsia="Microsoft YaHei UI"/>
          <w:color w:val="34363C"/>
          <w:spacing w:val="15"/>
          <w:sz w:val="21"/>
          <w:szCs w:val="21"/>
        </w:rPr>
        <w:t>（1）本专业为三明学院与厦门亿学教育集团、海沧跨境电商圈联合培养</w:t>
      </w:r>
    </w:p>
    <w:p w14:paraId="60A35C61">
      <w:pPr>
        <w:pStyle w:val="7"/>
        <w:shd w:val="clear" w:color="auto" w:fill="FFFFFF"/>
        <w:spacing w:before="0" w:beforeAutospacing="0" w:after="0" w:afterAutospacing="0"/>
        <w:ind w:firstLine="482"/>
        <w:jc w:val="both"/>
        <w:rPr>
          <w:rFonts w:ascii="Microsoft YaHei UI" w:hAnsi="Microsoft YaHei UI" w:eastAsia="Microsoft YaHei UI"/>
          <w:color w:val="34363C"/>
          <w:spacing w:val="15"/>
          <w:sz w:val="21"/>
          <w:szCs w:val="21"/>
        </w:rPr>
      </w:pPr>
      <w:r>
        <w:rPr>
          <w:rFonts w:hint="eastAsia" w:ascii="Microsoft YaHei UI" w:hAnsi="Microsoft YaHei UI" w:eastAsia="Microsoft YaHei UI"/>
          <w:color w:val="34363C"/>
          <w:spacing w:val="15"/>
          <w:sz w:val="21"/>
          <w:szCs w:val="21"/>
        </w:rPr>
        <w:t>（2）修满全部学分的学生可获得三明学院微专业证书和厦门亿学教育集团实习证书。</w:t>
      </w:r>
    </w:p>
    <w:p w14:paraId="1559EC27">
      <w:pPr>
        <w:pStyle w:val="13"/>
        <w:numPr>
          <w:ilvl w:val="0"/>
          <w:numId w:val="1"/>
        </w:numPr>
        <w:ind w:firstLineChars="0"/>
        <w:jc w:val="left"/>
        <w:rPr>
          <w:b/>
          <w:sz w:val="28"/>
          <w:szCs w:val="28"/>
        </w:rPr>
      </w:pPr>
      <w:r>
        <w:rPr>
          <w:rFonts w:hint="eastAsia"/>
          <w:b/>
          <w:sz w:val="28"/>
          <w:szCs w:val="28"/>
          <w:lang w:eastAsia="zh-CN"/>
        </w:rPr>
        <w:t>开设</w:t>
      </w:r>
      <w:r>
        <w:rPr>
          <w:rFonts w:hint="eastAsia"/>
          <w:b/>
          <w:sz w:val="28"/>
          <w:szCs w:val="28"/>
        </w:rPr>
        <w:t>课程</w:t>
      </w:r>
    </w:p>
    <w:p w14:paraId="00367A65">
      <w:pPr>
        <w:pStyle w:val="7"/>
        <w:shd w:val="clear" w:color="auto" w:fill="FFFFFF"/>
        <w:spacing w:before="0" w:beforeAutospacing="0" w:after="0" w:afterAutospacing="0"/>
        <w:ind w:firstLine="482"/>
        <w:jc w:val="both"/>
        <w:rPr>
          <w:rFonts w:ascii="Microsoft YaHei UI" w:hAnsi="Microsoft YaHei UI" w:eastAsia="Microsoft YaHei UI"/>
          <w:color w:val="34363C"/>
          <w:spacing w:val="15"/>
          <w:sz w:val="21"/>
          <w:szCs w:val="21"/>
        </w:rPr>
      </w:pPr>
      <w:r>
        <w:rPr>
          <w:rFonts w:hint="eastAsia" w:ascii="Microsoft YaHei UI" w:hAnsi="Microsoft YaHei UI" w:eastAsia="Microsoft YaHei UI"/>
          <w:color w:val="34363C"/>
          <w:spacing w:val="15"/>
          <w:sz w:val="21"/>
          <w:szCs w:val="21"/>
        </w:rPr>
        <w:t>国际</w:t>
      </w:r>
      <w:r>
        <w:rPr>
          <w:rFonts w:ascii="Microsoft YaHei UI" w:hAnsi="Microsoft YaHei UI" w:eastAsia="Microsoft YaHei UI"/>
          <w:color w:val="34363C"/>
          <w:spacing w:val="15"/>
          <w:sz w:val="21"/>
          <w:szCs w:val="21"/>
        </w:rPr>
        <w:t>贸易实务与</w:t>
      </w:r>
      <w:r>
        <w:rPr>
          <w:rFonts w:hint="eastAsia" w:ascii="Microsoft YaHei UI" w:hAnsi="Microsoft YaHei UI" w:eastAsia="Microsoft YaHei UI"/>
          <w:color w:val="34363C"/>
          <w:spacing w:val="15"/>
          <w:sz w:val="21"/>
          <w:szCs w:val="21"/>
        </w:rPr>
        <w:t>综合</w:t>
      </w:r>
      <w:r>
        <w:rPr>
          <w:rFonts w:ascii="Microsoft YaHei UI" w:hAnsi="Microsoft YaHei UI" w:eastAsia="Microsoft YaHei UI"/>
          <w:color w:val="34363C"/>
          <w:spacing w:val="15"/>
          <w:sz w:val="21"/>
          <w:szCs w:val="21"/>
        </w:rPr>
        <w:t>实训、</w:t>
      </w:r>
      <w:r>
        <w:rPr>
          <w:rFonts w:hint="eastAsia" w:ascii="Microsoft YaHei UI" w:hAnsi="Microsoft YaHei UI" w:eastAsia="Microsoft YaHei UI"/>
          <w:color w:val="34363C"/>
          <w:spacing w:val="15"/>
          <w:sz w:val="21"/>
          <w:szCs w:val="21"/>
        </w:rPr>
        <w:t>跨境直播设计、</w:t>
      </w:r>
      <w:r>
        <w:rPr>
          <w:rFonts w:ascii="Microsoft YaHei UI" w:hAnsi="Microsoft YaHei UI" w:eastAsia="Microsoft YaHei UI"/>
          <w:color w:val="34363C"/>
          <w:spacing w:val="15"/>
          <w:sz w:val="21"/>
          <w:szCs w:val="21"/>
        </w:rPr>
        <w:t>跨文化</w:t>
      </w:r>
      <w:r>
        <w:rPr>
          <w:rFonts w:hint="eastAsia" w:ascii="Microsoft YaHei UI" w:hAnsi="Microsoft YaHei UI" w:eastAsia="Microsoft YaHei UI"/>
          <w:color w:val="34363C"/>
          <w:spacing w:val="15"/>
          <w:sz w:val="21"/>
          <w:szCs w:val="21"/>
        </w:rPr>
        <w:t>商务礼仪、中国文化</w:t>
      </w:r>
      <w:r>
        <w:rPr>
          <w:rFonts w:ascii="Microsoft YaHei UI" w:hAnsi="Microsoft YaHei UI" w:eastAsia="Microsoft YaHei UI"/>
          <w:color w:val="34363C"/>
          <w:spacing w:val="15"/>
          <w:sz w:val="21"/>
          <w:szCs w:val="21"/>
        </w:rPr>
        <w:t>传播、</w:t>
      </w:r>
      <w:r>
        <w:rPr>
          <w:rFonts w:hint="eastAsia" w:ascii="Microsoft YaHei UI" w:hAnsi="Microsoft YaHei UI" w:eastAsia="Microsoft YaHei UI"/>
          <w:color w:val="34363C"/>
          <w:spacing w:val="15"/>
          <w:sz w:val="21"/>
          <w:szCs w:val="21"/>
        </w:rPr>
        <w:t>跨境电商运营、</w:t>
      </w:r>
      <w:r>
        <w:rPr>
          <w:rFonts w:ascii="Microsoft YaHei UI" w:hAnsi="Microsoft YaHei UI" w:eastAsia="Microsoft YaHei UI"/>
          <w:color w:val="34363C"/>
          <w:spacing w:val="15"/>
          <w:sz w:val="21"/>
          <w:szCs w:val="21"/>
        </w:rPr>
        <w:t>跨境电商</w:t>
      </w:r>
      <w:r>
        <w:rPr>
          <w:rFonts w:hint="eastAsia" w:ascii="Microsoft YaHei UI" w:hAnsi="Microsoft YaHei UI" w:eastAsia="Microsoft YaHei UI"/>
          <w:color w:val="34363C"/>
          <w:spacing w:val="15"/>
          <w:sz w:val="21"/>
          <w:szCs w:val="21"/>
        </w:rPr>
        <w:t>实训与实践、跨境电商创新创业大赛。</w:t>
      </w:r>
    </w:p>
    <w:p w14:paraId="4182D3A1">
      <w:pPr>
        <w:pStyle w:val="7"/>
        <w:shd w:val="clear" w:color="auto" w:fill="FFFFFF"/>
        <w:spacing w:before="0" w:beforeAutospacing="0" w:after="0" w:afterAutospacing="0"/>
        <w:ind w:firstLine="482"/>
        <w:jc w:val="both"/>
        <w:rPr>
          <w:rFonts w:ascii="Microsoft YaHei UI" w:hAnsi="Microsoft YaHei UI" w:eastAsia="Microsoft YaHei UI"/>
          <w:color w:val="34363C"/>
          <w:spacing w:val="15"/>
          <w:sz w:val="21"/>
          <w:szCs w:val="21"/>
        </w:rPr>
      </w:pPr>
      <w:r>
        <w:rPr>
          <w:rFonts w:hint="eastAsia" w:ascii="Microsoft YaHei UI" w:hAnsi="Microsoft YaHei UI" w:eastAsia="Microsoft YaHei UI"/>
          <w:color w:val="34363C"/>
          <w:spacing w:val="15"/>
          <w:sz w:val="21"/>
          <w:szCs w:val="21"/>
        </w:rPr>
        <w:t>课程设计：</w:t>
      </w:r>
      <w:r>
        <w:rPr>
          <w:rFonts w:hint="eastAsia" w:ascii="Microsoft YaHei UI" w:hAnsi="Microsoft YaHei UI" w:eastAsia="Microsoft YaHei UI"/>
          <w:color w:val="34363C"/>
          <w:spacing w:val="15"/>
          <w:sz w:val="21"/>
          <w:szCs w:val="21"/>
          <w:lang w:val="en-US" w:eastAsia="zh-CN"/>
        </w:rPr>
        <w:t>13</w:t>
      </w:r>
      <w:r>
        <w:rPr>
          <w:rFonts w:hint="eastAsia" w:ascii="Microsoft YaHei UI" w:hAnsi="Microsoft YaHei UI" w:eastAsia="Microsoft YaHei UI"/>
          <w:color w:val="34363C"/>
          <w:spacing w:val="15"/>
          <w:sz w:val="21"/>
          <w:szCs w:val="21"/>
        </w:rPr>
        <w:t>学分，2学期</w:t>
      </w:r>
    </w:p>
    <w:p w14:paraId="05E2FFB7">
      <w:pPr>
        <w:pStyle w:val="7"/>
        <w:shd w:val="clear" w:color="auto" w:fill="FFFFFF"/>
        <w:spacing w:before="0" w:beforeAutospacing="0" w:after="0" w:afterAutospacing="0"/>
        <w:ind w:firstLine="482"/>
        <w:jc w:val="both"/>
        <w:rPr>
          <w:rFonts w:ascii="Microsoft YaHei UI" w:hAnsi="Microsoft YaHei UI" w:eastAsia="Microsoft YaHei UI"/>
          <w:color w:val="34363C"/>
          <w:spacing w:val="15"/>
          <w:sz w:val="21"/>
          <w:szCs w:val="21"/>
        </w:rPr>
      </w:pPr>
      <w:r>
        <w:rPr>
          <w:rFonts w:hint="eastAsia" w:ascii="Microsoft YaHei UI" w:hAnsi="Microsoft YaHei UI" w:eastAsia="Microsoft YaHei UI"/>
          <w:color w:val="34363C"/>
          <w:spacing w:val="15"/>
          <w:sz w:val="21"/>
          <w:szCs w:val="21"/>
        </w:rPr>
        <w:t>学习周期：1-2年</w:t>
      </w:r>
    </w:p>
    <w:tbl>
      <w:tblPr>
        <w:tblStyle w:val="8"/>
        <w:tblW w:w="8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
        <w:gridCol w:w="2625"/>
        <w:gridCol w:w="559"/>
        <w:gridCol w:w="903"/>
        <w:gridCol w:w="645"/>
        <w:gridCol w:w="688"/>
        <w:gridCol w:w="647"/>
        <w:gridCol w:w="1148"/>
        <w:gridCol w:w="1327"/>
      </w:tblGrid>
      <w:tr w14:paraId="0315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vMerge w:val="restart"/>
            <w:noWrap/>
            <w:vAlign w:val="center"/>
          </w:tcPr>
          <w:p w14:paraId="23D1B891">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序号</w:t>
            </w:r>
          </w:p>
        </w:tc>
        <w:tc>
          <w:tcPr>
            <w:tcW w:w="2625" w:type="dxa"/>
            <w:vMerge w:val="restart"/>
            <w:noWrap/>
            <w:vAlign w:val="center"/>
          </w:tcPr>
          <w:p w14:paraId="71B3BAA1">
            <w:pPr>
              <w:widowControl/>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559" w:type="dxa"/>
            <w:vMerge w:val="restart"/>
            <w:noWrap/>
            <w:vAlign w:val="center"/>
          </w:tcPr>
          <w:p w14:paraId="6969E6B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学分</w:t>
            </w:r>
          </w:p>
        </w:tc>
        <w:tc>
          <w:tcPr>
            <w:tcW w:w="2883" w:type="dxa"/>
            <w:gridSpan w:val="4"/>
            <w:noWrap/>
            <w:vAlign w:val="center"/>
          </w:tcPr>
          <w:p w14:paraId="160999DA">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30"/>
                <w:kern w:val="0"/>
                <w:sz w:val="24"/>
                <w:szCs w:val="24"/>
                <w:fitText w:val="840" w:id="-1029952000"/>
              </w:rPr>
              <w:t>学时</w:t>
            </w:r>
            <w:r>
              <w:rPr>
                <w:rFonts w:hint="eastAsia" w:ascii="仿宋_GB2312" w:hAnsi="仿宋_GB2312" w:eastAsia="仿宋_GB2312" w:cs="仿宋_GB2312"/>
                <w:b/>
                <w:spacing w:val="0"/>
                <w:kern w:val="0"/>
                <w:sz w:val="24"/>
                <w:szCs w:val="24"/>
                <w:fitText w:val="840" w:id="-1029952000"/>
              </w:rPr>
              <w:t>数</w:t>
            </w:r>
          </w:p>
        </w:tc>
        <w:tc>
          <w:tcPr>
            <w:tcW w:w="1148" w:type="dxa"/>
            <w:vMerge w:val="restart"/>
            <w:noWrap/>
            <w:vAlign w:val="center"/>
          </w:tcPr>
          <w:p w14:paraId="5C924458">
            <w:pPr>
              <w:widowControl/>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考核</w:t>
            </w:r>
          </w:p>
          <w:p w14:paraId="5E4779C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方式</w:t>
            </w:r>
          </w:p>
        </w:tc>
        <w:tc>
          <w:tcPr>
            <w:tcW w:w="1327" w:type="dxa"/>
            <w:vMerge w:val="restart"/>
            <w:noWrap/>
            <w:vAlign w:val="center"/>
          </w:tcPr>
          <w:p w14:paraId="71ACC9F7">
            <w:pPr>
              <w:widowControl/>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开课</w:t>
            </w:r>
          </w:p>
          <w:p w14:paraId="6B88514C">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时间</w:t>
            </w:r>
          </w:p>
        </w:tc>
      </w:tr>
      <w:tr w14:paraId="59FC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vMerge w:val="continue"/>
            <w:noWrap/>
            <w:vAlign w:val="center"/>
          </w:tcPr>
          <w:p w14:paraId="1CE6513D">
            <w:pPr>
              <w:widowControl/>
              <w:jc w:val="center"/>
              <w:rPr>
                <w:rFonts w:ascii="仿宋_GB2312" w:hAnsi="仿宋_GB2312" w:eastAsia="仿宋_GB2312" w:cs="仿宋_GB2312"/>
                <w:b/>
                <w:spacing w:val="20"/>
                <w:sz w:val="24"/>
                <w:szCs w:val="24"/>
              </w:rPr>
            </w:pPr>
          </w:p>
        </w:tc>
        <w:tc>
          <w:tcPr>
            <w:tcW w:w="2625" w:type="dxa"/>
            <w:vMerge w:val="continue"/>
            <w:noWrap/>
            <w:vAlign w:val="center"/>
          </w:tcPr>
          <w:p w14:paraId="6D8F50E5">
            <w:pPr>
              <w:widowControl/>
              <w:jc w:val="center"/>
              <w:rPr>
                <w:rFonts w:ascii="仿宋_GB2312" w:hAnsi="仿宋_GB2312" w:eastAsia="仿宋_GB2312" w:cs="仿宋_GB2312"/>
                <w:b/>
                <w:spacing w:val="20"/>
                <w:sz w:val="24"/>
                <w:szCs w:val="24"/>
              </w:rPr>
            </w:pPr>
          </w:p>
        </w:tc>
        <w:tc>
          <w:tcPr>
            <w:tcW w:w="559" w:type="dxa"/>
            <w:vMerge w:val="continue"/>
            <w:noWrap/>
            <w:vAlign w:val="center"/>
          </w:tcPr>
          <w:p w14:paraId="603FC0D3">
            <w:pPr>
              <w:widowControl/>
              <w:jc w:val="center"/>
              <w:rPr>
                <w:rFonts w:ascii="仿宋_GB2312" w:hAnsi="仿宋_GB2312" w:eastAsia="仿宋_GB2312" w:cs="仿宋_GB2312"/>
                <w:b/>
                <w:spacing w:val="20"/>
                <w:sz w:val="24"/>
                <w:szCs w:val="24"/>
              </w:rPr>
            </w:pPr>
          </w:p>
        </w:tc>
        <w:tc>
          <w:tcPr>
            <w:tcW w:w="903" w:type="dxa"/>
            <w:noWrap/>
            <w:vAlign w:val="center"/>
          </w:tcPr>
          <w:p w14:paraId="1FE129C3">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总学时</w:t>
            </w:r>
          </w:p>
        </w:tc>
        <w:tc>
          <w:tcPr>
            <w:tcW w:w="645" w:type="dxa"/>
            <w:noWrap/>
            <w:vAlign w:val="center"/>
          </w:tcPr>
          <w:p w14:paraId="1FB18AE9">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理论</w:t>
            </w:r>
          </w:p>
        </w:tc>
        <w:tc>
          <w:tcPr>
            <w:tcW w:w="688" w:type="dxa"/>
            <w:noWrap/>
            <w:vAlign w:val="center"/>
          </w:tcPr>
          <w:p w14:paraId="6CEA112A">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实验</w:t>
            </w:r>
          </w:p>
        </w:tc>
        <w:tc>
          <w:tcPr>
            <w:tcW w:w="647" w:type="dxa"/>
            <w:noWrap/>
            <w:vAlign w:val="center"/>
          </w:tcPr>
          <w:p w14:paraId="3B154DE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z w:val="24"/>
                <w:szCs w:val="24"/>
              </w:rPr>
              <w:t>实践</w:t>
            </w:r>
          </w:p>
        </w:tc>
        <w:tc>
          <w:tcPr>
            <w:tcW w:w="1148" w:type="dxa"/>
            <w:vMerge w:val="continue"/>
            <w:noWrap/>
            <w:vAlign w:val="center"/>
          </w:tcPr>
          <w:p w14:paraId="0FBD9405">
            <w:pPr>
              <w:widowControl/>
              <w:jc w:val="center"/>
              <w:rPr>
                <w:rFonts w:ascii="仿宋_GB2312" w:hAnsi="仿宋_GB2312" w:eastAsia="仿宋_GB2312" w:cs="仿宋_GB2312"/>
                <w:b/>
                <w:spacing w:val="20"/>
                <w:sz w:val="24"/>
                <w:szCs w:val="24"/>
              </w:rPr>
            </w:pPr>
          </w:p>
        </w:tc>
        <w:tc>
          <w:tcPr>
            <w:tcW w:w="1327" w:type="dxa"/>
            <w:vMerge w:val="continue"/>
            <w:noWrap/>
            <w:vAlign w:val="center"/>
          </w:tcPr>
          <w:p w14:paraId="4CA5F40F">
            <w:pPr>
              <w:widowControl/>
              <w:jc w:val="center"/>
              <w:rPr>
                <w:rFonts w:ascii="仿宋_GB2312" w:hAnsi="仿宋_GB2312" w:eastAsia="仿宋_GB2312" w:cs="仿宋_GB2312"/>
                <w:b/>
                <w:spacing w:val="20"/>
                <w:sz w:val="24"/>
                <w:szCs w:val="24"/>
              </w:rPr>
            </w:pPr>
          </w:p>
        </w:tc>
      </w:tr>
      <w:tr w14:paraId="5619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3F9240E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w:t>
            </w:r>
          </w:p>
        </w:tc>
        <w:tc>
          <w:tcPr>
            <w:tcW w:w="2625" w:type="dxa"/>
            <w:noWrap/>
            <w:vAlign w:val="center"/>
          </w:tcPr>
          <w:p w14:paraId="75910900">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国际</w:t>
            </w:r>
            <w:r>
              <w:rPr>
                <w:rFonts w:ascii="仿宋_GB2312" w:hAnsi="仿宋_GB2312" w:eastAsia="仿宋_GB2312" w:cs="仿宋_GB2312"/>
                <w:sz w:val="24"/>
                <w:szCs w:val="24"/>
              </w:rPr>
              <w:t>贸易实务与</w:t>
            </w:r>
            <w:r>
              <w:rPr>
                <w:rFonts w:hint="eastAsia" w:ascii="仿宋_GB2312" w:hAnsi="仿宋_GB2312" w:eastAsia="仿宋_GB2312" w:cs="仿宋_GB2312"/>
                <w:sz w:val="24"/>
                <w:szCs w:val="24"/>
              </w:rPr>
              <w:t>综合</w:t>
            </w:r>
            <w:r>
              <w:rPr>
                <w:rFonts w:ascii="仿宋_GB2312" w:hAnsi="仿宋_GB2312" w:eastAsia="仿宋_GB2312" w:cs="仿宋_GB2312"/>
                <w:sz w:val="24"/>
                <w:szCs w:val="24"/>
              </w:rPr>
              <w:t>实训</w:t>
            </w:r>
          </w:p>
        </w:tc>
        <w:tc>
          <w:tcPr>
            <w:tcW w:w="559" w:type="dxa"/>
            <w:noWrap/>
            <w:vAlign w:val="center"/>
          </w:tcPr>
          <w:p w14:paraId="11DEE6A0">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w:t>
            </w:r>
          </w:p>
        </w:tc>
        <w:tc>
          <w:tcPr>
            <w:tcW w:w="903" w:type="dxa"/>
            <w:noWrap/>
            <w:vAlign w:val="center"/>
          </w:tcPr>
          <w:p w14:paraId="60BB06D1">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48</w:t>
            </w:r>
          </w:p>
        </w:tc>
        <w:tc>
          <w:tcPr>
            <w:tcW w:w="645" w:type="dxa"/>
            <w:noWrap/>
            <w:vAlign w:val="center"/>
          </w:tcPr>
          <w:p w14:paraId="7FA8F939">
            <w:pPr>
              <w:widowControl/>
              <w:jc w:val="center"/>
              <w:rPr>
                <w:rFonts w:hint="default" w:ascii="仿宋_GB2312" w:hAnsi="仿宋_GB2312" w:eastAsia="仿宋_GB2312" w:cs="仿宋_GB2312"/>
                <w:b/>
                <w:spacing w:val="20"/>
                <w:sz w:val="24"/>
                <w:szCs w:val="24"/>
                <w:lang w:val="en-US" w:eastAsia="zh-CN"/>
              </w:rPr>
            </w:pPr>
            <w:r>
              <w:rPr>
                <w:rFonts w:hint="eastAsia" w:ascii="仿宋_GB2312" w:hAnsi="仿宋_GB2312" w:eastAsia="仿宋_GB2312" w:cs="仿宋_GB2312"/>
                <w:b/>
                <w:spacing w:val="20"/>
                <w:sz w:val="24"/>
                <w:szCs w:val="24"/>
                <w:lang w:val="en-US" w:eastAsia="zh-CN"/>
              </w:rPr>
              <w:t>32</w:t>
            </w:r>
          </w:p>
        </w:tc>
        <w:tc>
          <w:tcPr>
            <w:tcW w:w="688" w:type="dxa"/>
            <w:noWrap/>
            <w:vAlign w:val="center"/>
          </w:tcPr>
          <w:p w14:paraId="64441192">
            <w:pPr>
              <w:widowControl/>
              <w:jc w:val="center"/>
              <w:rPr>
                <w:rFonts w:ascii="仿宋_GB2312" w:hAnsi="仿宋_GB2312" w:eastAsia="仿宋_GB2312" w:cs="仿宋_GB2312"/>
                <w:b/>
                <w:spacing w:val="20"/>
                <w:sz w:val="24"/>
                <w:szCs w:val="24"/>
              </w:rPr>
            </w:pPr>
          </w:p>
        </w:tc>
        <w:tc>
          <w:tcPr>
            <w:tcW w:w="647" w:type="dxa"/>
            <w:noWrap/>
            <w:vAlign w:val="center"/>
          </w:tcPr>
          <w:p w14:paraId="15CE8BA5">
            <w:pPr>
              <w:widowControl/>
              <w:jc w:val="center"/>
              <w:rPr>
                <w:rFonts w:hint="default" w:ascii="仿宋_GB2312" w:hAnsi="仿宋_GB2312" w:eastAsia="仿宋_GB2312" w:cs="仿宋_GB2312"/>
                <w:b/>
                <w:spacing w:val="20"/>
                <w:sz w:val="24"/>
                <w:szCs w:val="24"/>
                <w:lang w:val="en-US" w:eastAsia="zh-CN"/>
              </w:rPr>
            </w:pPr>
            <w:r>
              <w:rPr>
                <w:rFonts w:hint="eastAsia" w:ascii="仿宋_GB2312" w:hAnsi="仿宋_GB2312" w:eastAsia="仿宋_GB2312" w:cs="仿宋_GB2312"/>
                <w:b/>
                <w:spacing w:val="20"/>
                <w:sz w:val="24"/>
                <w:szCs w:val="24"/>
                <w:lang w:val="en-US" w:eastAsia="zh-CN"/>
              </w:rPr>
              <w:t>16</w:t>
            </w:r>
          </w:p>
        </w:tc>
        <w:tc>
          <w:tcPr>
            <w:tcW w:w="1148" w:type="dxa"/>
            <w:noWrap/>
            <w:vAlign w:val="center"/>
          </w:tcPr>
          <w:p w14:paraId="3DCA3266">
            <w:pPr>
              <w:widowControl/>
              <w:jc w:val="center"/>
              <w:rPr>
                <w:rFonts w:ascii="仿宋_GB2312" w:hAnsi="仿宋_GB2312" w:eastAsia="仿宋_GB2312" w:cs="仿宋_GB2312"/>
                <w:b/>
                <w:spacing w:val="20"/>
                <w:sz w:val="24"/>
                <w:szCs w:val="24"/>
              </w:rPr>
            </w:pPr>
            <w:r>
              <w:rPr>
                <w:rFonts w:ascii="仿宋_GB2312" w:hAnsi="仿宋_GB2312" w:eastAsia="仿宋_GB2312" w:cs="仿宋_GB2312"/>
                <w:sz w:val="24"/>
                <w:szCs w:val="24"/>
              </w:rPr>
              <w:t>平台实操</w:t>
            </w:r>
          </w:p>
        </w:tc>
        <w:tc>
          <w:tcPr>
            <w:tcW w:w="1327" w:type="dxa"/>
            <w:noWrap/>
            <w:vAlign w:val="center"/>
          </w:tcPr>
          <w:p w14:paraId="23643F16">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第1</w:t>
            </w:r>
            <w:r>
              <w:rPr>
                <w:rFonts w:ascii="仿宋_GB2312" w:hAnsi="仿宋_GB2312" w:eastAsia="仿宋_GB2312" w:cs="仿宋_GB2312"/>
                <w:b/>
                <w:spacing w:val="20"/>
                <w:sz w:val="24"/>
                <w:szCs w:val="24"/>
              </w:rPr>
              <w:t>学期</w:t>
            </w:r>
          </w:p>
        </w:tc>
      </w:tr>
      <w:tr w14:paraId="0806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43A47B70">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2</w:t>
            </w:r>
          </w:p>
        </w:tc>
        <w:tc>
          <w:tcPr>
            <w:tcW w:w="2625" w:type="dxa"/>
            <w:noWrap/>
            <w:vAlign w:val="center"/>
          </w:tcPr>
          <w:p w14:paraId="2D0FE8CC">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跨境直播设计</w:t>
            </w:r>
          </w:p>
        </w:tc>
        <w:tc>
          <w:tcPr>
            <w:tcW w:w="559" w:type="dxa"/>
            <w:noWrap/>
            <w:vAlign w:val="center"/>
          </w:tcPr>
          <w:p w14:paraId="0A380FFC">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2</w:t>
            </w:r>
          </w:p>
        </w:tc>
        <w:tc>
          <w:tcPr>
            <w:tcW w:w="903" w:type="dxa"/>
            <w:noWrap/>
            <w:vAlign w:val="center"/>
          </w:tcPr>
          <w:p w14:paraId="035B5938">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645" w:type="dxa"/>
            <w:noWrap/>
            <w:vAlign w:val="center"/>
          </w:tcPr>
          <w:p w14:paraId="0A829B4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688" w:type="dxa"/>
            <w:noWrap/>
            <w:vAlign w:val="center"/>
          </w:tcPr>
          <w:p w14:paraId="2351AE98">
            <w:pPr>
              <w:widowControl/>
              <w:jc w:val="center"/>
              <w:rPr>
                <w:rFonts w:ascii="仿宋_GB2312" w:hAnsi="仿宋_GB2312" w:eastAsia="仿宋_GB2312" w:cs="仿宋_GB2312"/>
                <w:b/>
                <w:spacing w:val="20"/>
                <w:sz w:val="24"/>
                <w:szCs w:val="24"/>
              </w:rPr>
            </w:pPr>
          </w:p>
        </w:tc>
        <w:tc>
          <w:tcPr>
            <w:tcW w:w="647" w:type="dxa"/>
            <w:noWrap/>
            <w:vAlign w:val="center"/>
          </w:tcPr>
          <w:p w14:paraId="04E8332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1148" w:type="dxa"/>
            <w:noWrap/>
            <w:vAlign w:val="center"/>
          </w:tcPr>
          <w:p w14:paraId="6B1304B0">
            <w:pPr>
              <w:widowControl/>
              <w:jc w:val="center"/>
              <w:rPr>
                <w:rFonts w:ascii="仿宋_GB2312" w:hAnsi="仿宋_GB2312" w:eastAsia="仿宋_GB2312" w:cs="仿宋_GB2312"/>
                <w:sz w:val="24"/>
                <w:szCs w:val="24"/>
              </w:rPr>
            </w:pPr>
            <w:r>
              <w:rPr>
                <w:rFonts w:ascii="仿宋_GB2312" w:hAnsi="仿宋_GB2312" w:eastAsia="仿宋_GB2312" w:cs="仿宋_GB2312"/>
                <w:sz w:val="24"/>
                <w:szCs w:val="24"/>
              </w:rPr>
              <w:t>项目设计</w:t>
            </w:r>
            <w:r>
              <w:rPr>
                <w:rFonts w:hint="eastAsia" w:ascii="仿宋_GB2312" w:hAnsi="仿宋_GB2312" w:eastAsia="仿宋_GB2312" w:cs="仿宋_GB2312"/>
                <w:sz w:val="24"/>
                <w:szCs w:val="24"/>
              </w:rPr>
              <w:t>+直播</w:t>
            </w:r>
          </w:p>
        </w:tc>
        <w:tc>
          <w:tcPr>
            <w:tcW w:w="1327" w:type="dxa"/>
            <w:noWrap/>
            <w:vAlign w:val="center"/>
          </w:tcPr>
          <w:p w14:paraId="4F1E0A7C">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第1</w:t>
            </w:r>
            <w:r>
              <w:rPr>
                <w:rFonts w:ascii="仿宋_GB2312" w:hAnsi="仿宋_GB2312" w:eastAsia="仿宋_GB2312" w:cs="仿宋_GB2312"/>
                <w:b/>
                <w:spacing w:val="20"/>
                <w:sz w:val="24"/>
                <w:szCs w:val="24"/>
              </w:rPr>
              <w:t>学期</w:t>
            </w:r>
          </w:p>
        </w:tc>
      </w:tr>
      <w:tr w14:paraId="69A5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6E3ACF5E">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w:t>
            </w:r>
          </w:p>
        </w:tc>
        <w:tc>
          <w:tcPr>
            <w:tcW w:w="2625" w:type="dxa"/>
            <w:noWrap/>
            <w:vAlign w:val="center"/>
          </w:tcPr>
          <w:p w14:paraId="4437291D">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跨文化</w:t>
            </w:r>
            <w:r>
              <w:rPr>
                <w:rFonts w:hint="eastAsia" w:ascii="仿宋_GB2312" w:hAnsi="仿宋_GB2312" w:eastAsia="仿宋_GB2312" w:cs="仿宋_GB2312"/>
                <w:sz w:val="24"/>
                <w:szCs w:val="24"/>
              </w:rPr>
              <w:t>商务礼仪</w:t>
            </w:r>
          </w:p>
        </w:tc>
        <w:tc>
          <w:tcPr>
            <w:tcW w:w="559" w:type="dxa"/>
            <w:noWrap/>
            <w:vAlign w:val="center"/>
          </w:tcPr>
          <w:p w14:paraId="31196F7F">
            <w:pPr>
              <w:widowControl/>
              <w:jc w:val="center"/>
              <w:rPr>
                <w:rFonts w:hint="eastAsia" w:ascii="仿宋_GB2312" w:hAnsi="仿宋_GB2312" w:eastAsia="仿宋_GB2312" w:cs="仿宋_GB2312"/>
                <w:b/>
                <w:spacing w:val="20"/>
                <w:sz w:val="24"/>
                <w:szCs w:val="24"/>
                <w:lang w:eastAsia="zh-CN"/>
              </w:rPr>
            </w:pPr>
            <w:r>
              <w:rPr>
                <w:rFonts w:hint="eastAsia" w:ascii="仿宋_GB2312" w:hAnsi="仿宋_GB2312" w:eastAsia="仿宋_GB2312" w:cs="仿宋_GB2312"/>
                <w:b/>
                <w:spacing w:val="20"/>
                <w:sz w:val="24"/>
                <w:szCs w:val="24"/>
                <w:lang w:val="en-US" w:eastAsia="zh-CN"/>
              </w:rPr>
              <w:t>1</w:t>
            </w:r>
          </w:p>
        </w:tc>
        <w:tc>
          <w:tcPr>
            <w:tcW w:w="903" w:type="dxa"/>
            <w:noWrap/>
            <w:vAlign w:val="center"/>
          </w:tcPr>
          <w:p w14:paraId="0482C77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645" w:type="dxa"/>
            <w:noWrap/>
            <w:vAlign w:val="center"/>
          </w:tcPr>
          <w:p w14:paraId="2F7CB4D9">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0</w:t>
            </w:r>
          </w:p>
        </w:tc>
        <w:tc>
          <w:tcPr>
            <w:tcW w:w="688" w:type="dxa"/>
            <w:noWrap/>
            <w:vAlign w:val="center"/>
          </w:tcPr>
          <w:p w14:paraId="3EC6A696">
            <w:pPr>
              <w:widowControl/>
              <w:jc w:val="center"/>
              <w:rPr>
                <w:rFonts w:ascii="仿宋_GB2312" w:hAnsi="仿宋_GB2312" w:eastAsia="仿宋_GB2312" w:cs="仿宋_GB2312"/>
                <w:b/>
                <w:spacing w:val="20"/>
                <w:sz w:val="24"/>
                <w:szCs w:val="24"/>
              </w:rPr>
            </w:pPr>
          </w:p>
        </w:tc>
        <w:tc>
          <w:tcPr>
            <w:tcW w:w="647" w:type="dxa"/>
            <w:noWrap/>
            <w:vAlign w:val="center"/>
          </w:tcPr>
          <w:p w14:paraId="5606FBCA">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1148" w:type="dxa"/>
            <w:noWrap/>
            <w:vAlign w:val="center"/>
          </w:tcPr>
          <w:p w14:paraId="16118684">
            <w:pPr>
              <w:widowControl/>
              <w:jc w:val="center"/>
              <w:rPr>
                <w:rFonts w:ascii="仿宋_GB2312" w:hAnsi="仿宋_GB2312" w:eastAsia="仿宋_GB2312" w:cs="仿宋_GB2312"/>
                <w:sz w:val="24"/>
                <w:szCs w:val="24"/>
              </w:rPr>
            </w:pPr>
            <w:r>
              <w:rPr>
                <w:rFonts w:ascii="仿宋_GB2312" w:hAnsi="仿宋_GB2312" w:eastAsia="仿宋_GB2312" w:cs="仿宋_GB2312"/>
                <w:sz w:val="24"/>
                <w:szCs w:val="24"/>
              </w:rPr>
              <w:t>考试</w:t>
            </w:r>
          </w:p>
        </w:tc>
        <w:tc>
          <w:tcPr>
            <w:tcW w:w="1327" w:type="dxa"/>
            <w:noWrap/>
            <w:vAlign w:val="center"/>
          </w:tcPr>
          <w:p w14:paraId="2C3753B7">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第1</w:t>
            </w:r>
            <w:r>
              <w:rPr>
                <w:rFonts w:ascii="仿宋_GB2312" w:hAnsi="仿宋_GB2312" w:eastAsia="仿宋_GB2312" w:cs="仿宋_GB2312"/>
                <w:b/>
                <w:spacing w:val="20"/>
                <w:sz w:val="24"/>
                <w:szCs w:val="24"/>
              </w:rPr>
              <w:t>学期</w:t>
            </w:r>
          </w:p>
        </w:tc>
      </w:tr>
      <w:tr w14:paraId="469C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79D25D5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4</w:t>
            </w:r>
          </w:p>
        </w:tc>
        <w:tc>
          <w:tcPr>
            <w:tcW w:w="2625" w:type="dxa"/>
            <w:noWrap/>
            <w:vAlign w:val="center"/>
          </w:tcPr>
          <w:p w14:paraId="2D463D37">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中国文化</w:t>
            </w:r>
            <w:r>
              <w:rPr>
                <w:rFonts w:ascii="仿宋_GB2312" w:hAnsi="仿宋_GB2312" w:eastAsia="仿宋_GB2312" w:cs="仿宋_GB2312"/>
                <w:sz w:val="24"/>
                <w:szCs w:val="24"/>
              </w:rPr>
              <w:t>传播</w:t>
            </w:r>
          </w:p>
        </w:tc>
        <w:tc>
          <w:tcPr>
            <w:tcW w:w="559" w:type="dxa"/>
            <w:noWrap/>
            <w:vAlign w:val="center"/>
          </w:tcPr>
          <w:p w14:paraId="079ADB4B">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2</w:t>
            </w:r>
          </w:p>
        </w:tc>
        <w:tc>
          <w:tcPr>
            <w:tcW w:w="903" w:type="dxa"/>
            <w:noWrap/>
            <w:vAlign w:val="center"/>
          </w:tcPr>
          <w:p w14:paraId="14E05B51">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645" w:type="dxa"/>
            <w:noWrap/>
            <w:vAlign w:val="center"/>
          </w:tcPr>
          <w:p w14:paraId="178CA316">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688" w:type="dxa"/>
            <w:noWrap/>
            <w:vAlign w:val="center"/>
          </w:tcPr>
          <w:p w14:paraId="4A8061CC">
            <w:pPr>
              <w:widowControl/>
              <w:jc w:val="center"/>
              <w:rPr>
                <w:rFonts w:ascii="仿宋_GB2312" w:hAnsi="仿宋_GB2312" w:eastAsia="仿宋_GB2312" w:cs="仿宋_GB2312"/>
                <w:b/>
                <w:spacing w:val="20"/>
                <w:sz w:val="24"/>
                <w:szCs w:val="24"/>
              </w:rPr>
            </w:pPr>
          </w:p>
        </w:tc>
        <w:tc>
          <w:tcPr>
            <w:tcW w:w="647" w:type="dxa"/>
            <w:noWrap/>
            <w:vAlign w:val="center"/>
          </w:tcPr>
          <w:p w14:paraId="7C994F37">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1148" w:type="dxa"/>
            <w:noWrap/>
            <w:vAlign w:val="center"/>
          </w:tcPr>
          <w:p w14:paraId="4FFAFE81">
            <w:pPr>
              <w:widowControl/>
              <w:jc w:val="center"/>
              <w:rPr>
                <w:rFonts w:ascii="仿宋_GB2312" w:hAnsi="仿宋_GB2312" w:eastAsia="仿宋_GB2312" w:cs="仿宋_GB2312"/>
                <w:sz w:val="24"/>
                <w:szCs w:val="24"/>
              </w:rPr>
            </w:pPr>
            <w:r>
              <w:rPr>
                <w:rFonts w:ascii="仿宋_GB2312" w:hAnsi="仿宋_GB2312" w:eastAsia="仿宋_GB2312" w:cs="仿宋_GB2312"/>
                <w:sz w:val="24"/>
                <w:szCs w:val="24"/>
              </w:rPr>
              <w:t>考试</w:t>
            </w:r>
          </w:p>
        </w:tc>
        <w:tc>
          <w:tcPr>
            <w:tcW w:w="1327" w:type="dxa"/>
            <w:noWrap/>
            <w:vAlign w:val="center"/>
          </w:tcPr>
          <w:p w14:paraId="548E49D9">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第1</w:t>
            </w:r>
            <w:r>
              <w:rPr>
                <w:rFonts w:ascii="仿宋_GB2312" w:hAnsi="仿宋_GB2312" w:eastAsia="仿宋_GB2312" w:cs="仿宋_GB2312"/>
                <w:b/>
                <w:spacing w:val="20"/>
                <w:sz w:val="24"/>
                <w:szCs w:val="24"/>
              </w:rPr>
              <w:t>学期</w:t>
            </w:r>
          </w:p>
        </w:tc>
      </w:tr>
      <w:tr w14:paraId="6EAF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65949667">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5</w:t>
            </w:r>
          </w:p>
        </w:tc>
        <w:tc>
          <w:tcPr>
            <w:tcW w:w="2625" w:type="dxa"/>
            <w:noWrap/>
            <w:vAlign w:val="center"/>
          </w:tcPr>
          <w:p w14:paraId="4CEEBE80">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跨境电商运营</w:t>
            </w:r>
          </w:p>
        </w:tc>
        <w:tc>
          <w:tcPr>
            <w:tcW w:w="559" w:type="dxa"/>
            <w:noWrap/>
            <w:vAlign w:val="center"/>
          </w:tcPr>
          <w:p w14:paraId="5F3E9CF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2</w:t>
            </w:r>
          </w:p>
        </w:tc>
        <w:tc>
          <w:tcPr>
            <w:tcW w:w="903" w:type="dxa"/>
            <w:noWrap/>
            <w:vAlign w:val="center"/>
          </w:tcPr>
          <w:p w14:paraId="0DF064B7">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645" w:type="dxa"/>
            <w:noWrap/>
            <w:vAlign w:val="center"/>
          </w:tcPr>
          <w:p w14:paraId="24E9DE24">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688" w:type="dxa"/>
            <w:noWrap/>
            <w:vAlign w:val="center"/>
          </w:tcPr>
          <w:p w14:paraId="7681E81B">
            <w:pPr>
              <w:widowControl/>
              <w:jc w:val="center"/>
              <w:rPr>
                <w:rFonts w:ascii="仿宋_GB2312" w:hAnsi="仿宋_GB2312" w:eastAsia="仿宋_GB2312" w:cs="仿宋_GB2312"/>
                <w:b/>
                <w:spacing w:val="20"/>
                <w:sz w:val="24"/>
                <w:szCs w:val="24"/>
              </w:rPr>
            </w:pPr>
          </w:p>
        </w:tc>
        <w:tc>
          <w:tcPr>
            <w:tcW w:w="647" w:type="dxa"/>
            <w:noWrap/>
            <w:vAlign w:val="center"/>
          </w:tcPr>
          <w:p w14:paraId="687BED3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1148" w:type="dxa"/>
            <w:noWrap/>
            <w:vAlign w:val="center"/>
          </w:tcPr>
          <w:p w14:paraId="0344D3F1">
            <w:pPr>
              <w:widowControl/>
              <w:jc w:val="center"/>
              <w:rPr>
                <w:rFonts w:ascii="仿宋_GB2312" w:hAnsi="仿宋_GB2312" w:eastAsia="仿宋_GB2312" w:cs="仿宋_GB2312"/>
                <w:sz w:val="24"/>
                <w:szCs w:val="24"/>
              </w:rPr>
            </w:pPr>
            <w:r>
              <w:rPr>
                <w:rFonts w:ascii="仿宋_GB2312" w:hAnsi="仿宋_GB2312" w:eastAsia="仿宋_GB2312" w:cs="仿宋_GB2312"/>
                <w:sz w:val="24"/>
                <w:szCs w:val="24"/>
              </w:rPr>
              <w:t>平台实操</w:t>
            </w:r>
          </w:p>
        </w:tc>
        <w:tc>
          <w:tcPr>
            <w:tcW w:w="1327" w:type="dxa"/>
            <w:noWrap/>
            <w:vAlign w:val="center"/>
          </w:tcPr>
          <w:p w14:paraId="35D26125">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第2</w:t>
            </w:r>
            <w:r>
              <w:rPr>
                <w:rFonts w:ascii="仿宋_GB2312" w:hAnsi="仿宋_GB2312" w:eastAsia="仿宋_GB2312" w:cs="仿宋_GB2312"/>
                <w:b/>
                <w:spacing w:val="20"/>
                <w:sz w:val="24"/>
                <w:szCs w:val="24"/>
              </w:rPr>
              <w:t>学期</w:t>
            </w:r>
          </w:p>
        </w:tc>
      </w:tr>
      <w:tr w14:paraId="28F8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3A4F85E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6</w:t>
            </w:r>
          </w:p>
        </w:tc>
        <w:tc>
          <w:tcPr>
            <w:tcW w:w="2625" w:type="dxa"/>
            <w:noWrap/>
            <w:vAlign w:val="center"/>
          </w:tcPr>
          <w:p w14:paraId="2124C742">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跨境电商</w:t>
            </w:r>
            <w:r>
              <w:rPr>
                <w:rFonts w:hint="eastAsia" w:ascii="仿宋_GB2312" w:hAnsi="仿宋_GB2312" w:eastAsia="仿宋_GB2312" w:cs="仿宋_GB2312"/>
                <w:sz w:val="24"/>
                <w:szCs w:val="24"/>
              </w:rPr>
              <w:t>实训与实践</w:t>
            </w:r>
          </w:p>
        </w:tc>
        <w:tc>
          <w:tcPr>
            <w:tcW w:w="559" w:type="dxa"/>
            <w:noWrap/>
            <w:vAlign w:val="center"/>
          </w:tcPr>
          <w:p w14:paraId="2ACE748D">
            <w:pPr>
              <w:widowControl/>
              <w:jc w:val="center"/>
              <w:rPr>
                <w:rFonts w:hint="eastAsia" w:ascii="仿宋_GB2312" w:hAnsi="仿宋_GB2312" w:eastAsia="仿宋_GB2312" w:cs="仿宋_GB2312"/>
                <w:b/>
                <w:spacing w:val="20"/>
                <w:sz w:val="24"/>
                <w:szCs w:val="24"/>
                <w:lang w:eastAsia="zh-CN"/>
              </w:rPr>
            </w:pPr>
            <w:r>
              <w:rPr>
                <w:rFonts w:hint="eastAsia" w:ascii="仿宋_GB2312" w:hAnsi="仿宋_GB2312" w:eastAsia="仿宋_GB2312" w:cs="仿宋_GB2312"/>
                <w:b/>
                <w:spacing w:val="20"/>
                <w:sz w:val="24"/>
                <w:szCs w:val="24"/>
                <w:lang w:val="en-US" w:eastAsia="zh-CN"/>
              </w:rPr>
              <w:t>1</w:t>
            </w:r>
          </w:p>
        </w:tc>
        <w:tc>
          <w:tcPr>
            <w:tcW w:w="903" w:type="dxa"/>
            <w:noWrap/>
            <w:vAlign w:val="center"/>
          </w:tcPr>
          <w:p w14:paraId="0FDF534C">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645" w:type="dxa"/>
            <w:noWrap/>
            <w:vAlign w:val="center"/>
          </w:tcPr>
          <w:p w14:paraId="36AD8242">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0</w:t>
            </w:r>
          </w:p>
        </w:tc>
        <w:tc>
          <w:tcPr>
            <w:tcW w:w="688" w:type="dxa"/>
            <w:noWrap/>
            <w:vAlign w:val="center"/>
          </w:tcPr>
          <w:p w14:paraId="4B51FF0E">
            <w:pPr>
              <w:widowControl/>
              <w:jc w:val="center"/>
              <w:rPr>
                <w:rFonts w:ascii="仿宋_GB2312" w:hAnsi="仿宋_GB2312" w:eastAsia="仿宋_GB2312" w:cs="仿宋_GB2312"/>
                <w:b/>
                <w:spacing w:val="20"/>
                <w:sz w:val="24"/>
                <w:szCs w:val="24"/>
              </w:rPr>
            </w:pPr>
          </w:p>
        </w:tc>
        <w:tc>
          <w:tcPr>
            <w:tcW w:w="647" w:type="dxa"/>
            <w:noWrap/>
            <w:vAlign w:val="center"/>
          </w:tcPr>
          <w:p w14:paraId="03C1CDF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1148" w:type="dxa"/>
            <w:noWrap/>
            <w:vAlign w:val="center"/>
          </w:tcPr>
          <w:p w14:paraId="2337AB06">
            <w:pPr>
              <w:widowControl/>
              <w:jc w:val="center"/>
              <w:rPr>
                <w:rFonts w:ascii="仿宋_GB2312" w:hAnsi="仿宋_GB2312" w:eastAsia="仿宋_GB2312" w:cs="仿宋_GB2312"/>
                <w:b/>
                <w:spacing w:val="20"/>
                <w:sz w:val="24"/>
                <w:szCs w:val="24"/>
              </w:rPr>
            </w:pPr>
            <w:r>
              <w:rPr>
                <w:rFonts w:ascii="仿宋_GB2312" w:hAnsi="仿宋_GB2312" w:eastAsia="仿宋_GB2312" w:cs="仿宋_GB2312"/>
                <w:sz w:val="24"/>
                <w:szCs w:val="24"/>
              </w:rPr>
              <w:t>平台实操</w:t>
            </w:r>
          </w:p>
        </w:tc>
        <w:tc>
          <w:tcPr>
            <w:tcW w:w="1327" w:type="dxa"/>
            <w:noWrap/>
            <w:vAlign w:val="center"/>
          </w:tcPr>
          <w:p w14:paraId="158A9514">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第2</w:t>
            </w:r>
            <w:r>
              <w:rPr>
                <w:rFonts w:ascii="仿宋_GB2312" w:hAnsi="仿宋_GB2312" w:eastAsia="仿宋_GB2312" w:cs="仿宋_GB2312"/>
                <w:b/>
                <w:spacing w:val="20"/>
                <w:sz w:val="24"/>
                <w:szCs w:val="24"/>
              </w:rPr>
              <w:t>学期</w:t>
            </w:r>
          </w:p>
        </w:tc>
      </w:tr>
      <w:tr w14:paraId="7115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56" w:type="dxa"/>
            <w:noWrap/>
            <w:vAlign w:val="center"/>
          </w:tcPr>
          <w:p w14:paraId="4B1E5548">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7</w:t>
            </w:r>
          </w:p>
        </w:tc>
        <w:tc>
          <w:tcPr>
            <w:tcW w:w="2625" w:type="dxa"/>
            <w:noWrap/>
            <w:vAlign w:val="center"/>
          </w:tcPr>
          <w:p w14:paraId="4184E5B4">
            <w:pPr>
              <w:widowControl/>
              <w:jc w:val="left"/>
              <w:rPr>
                <w:rFonts w:ascii="仿宋_GB2312" w:hAnsi="仿宋_GB2312" w:eastAsia="仿宋_GB2312" w:cs="仿宋_GB2312"/>
                <w:b/>
                <w:spacing w:val="20"/>
                <w:sz w:val="24"/>
                <w:szCs w:val="24"/>
              </w:rPr>
            </w:pPr>
            <w:r>
              <w:rPr>
                <w:rFonts w:hint="eastAsia" w:ascii="仿宋_GB2312" w:hAnsi="仿宋_GB2312" w:eastAsia="仿宋_GB2312" w:cs="仿宋_GB2312"/>
                <w:sz w:val="24"/>
                <w:szCs w:val="24"/>
              </w:rPr>
              <w:t>跨境电商创新创业大赛</w:t>
            </w:r>
          </w:p>
        </w:tc>
        <w:tc>
          <w:tcPr>
            <w:tcW w:w="559" w:type="dxa"/>
            <w:noWrap/>
            <w:vAlign w:val="center"/>
          </w:tcPr>
          <w:p w14:paraId="5DDD6DAF">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2</w:t>
            </w:r>
          </w:p>
        </w:tc>
        <w:tc>
          <w:tcPr>
            <w:tcW w:w="903" w:type="dxa"/>
            <w:noWrap/>
            <w:vAlign w:val="center"/>
          </w:tcPr>
          <w:p w14:paraId="013784E3">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32</w:t>
            </w:r>
          </w:p>
        </w:tc>
        <w:tc>
          <w:tcPr>
            <w:tcW w:w="645" w:type="dxa"/>
            <w:noWrap/>
            <w:vAlign w:val="center"/>
          </w:tcPr>
          <w:p w14:paraId="361F0F4B">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688" w:type="dxa"/>
            <w:noWrap/>
            <w:vAlign w:val="center"/>
          </w:tcPr>
          <w:p w14:paraId="036132C6">
            <w:pPr>
              <w:widowControl/>
              <w:jc w:val="center"/>
              <w:rPr>
                <w:rFonts w:ascii="仿宋_GB2312" w:hAnsi="仿宋_GB2312" w:eastAsia="仿宋_GB2312" w:cs="仿宋_GB2312"/>
                <w:b/>
                <w:spacing w:val="20"/>
                <w:sz w:val="24"/>
                <w:szCs w:val="24"/>
              </w:rPr>
            </w:pPr>
          </w:p>
        </w:tc>
        <w:tc>
          <w:tcPr>
            <w:tcW w:w="647" w:type="dxa"/>
            <w:noWrap/>
            <w:vAlign w:val="center"/>
          </w:tcPr>
          <w:p w14:paraId="1330B1AC">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16</w:t>
            </w:r>
          </w:p>
        </w:tc>
        <w:tc>
          <w:tcPr>
            <w:tcW w:w="1148" w:type="dxa"/>
            <w:noWrap/>
            <w:vAlign w:val="center"/>
          </w:tcPr>
          <w:p w14:paraId="3FF2D9CB">
            <w:pPr>
              <w:widowControl/>
              <w:jc w:val="center"/>
              <w:rPr>
                <w:rFonts w:ascii="仿宋_GB2312" w:hAnsi="仿宋_GB2312" w:eastAsia="仿宋_GB2312" w:cs="仿宋_GB2312"/>
                <w:sz w:val="24"/>
                <w:szCs w:val="24"/>
              </w:rPr>
            </w:pPr>
            <w:r>
              <w:rPr>
                <w:rFonts w:ascii="仿宋_GB2312" w:hAnsi="仿宋_GB2312" w:eastAsia="仿宋_GB2312" w:cs="仿宋_GB2312"/>
                <w:sz w:val="24"/>
                <w:szCs w:val="24"/>
              </w:rPr>
              <w:t>比赛</w:t>
            </w:r>
          </w:p>
        </w:tc>
        <w:tc>
          <w:tcPr>
            <w:tcW w:w="1327" w:type="dxa"/>
            <w:noWrap/>
            <w:vAlign w:val="center"/>
          </w:tcPr>
          <w:p w14:paraId="5018F23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第2</w:t>
            </w:r>
            <w:r>
              <w:rPr>
                <w:rFonts w:ascii="仿宋_GB2312" w:hAnsi="仿宋_GB2312" w:eastAsia="仿宋_GB2312" w:cs="仿宋_GB2312"/>
                <w:b/>
                <w:spacing w:val="20"/>
                <w:sz w:val="24"/>
                <w:szCs w:val="24"/>
              </w:rPr>
              <w:t>学期</w:t>
            </w:r>
          </w:p>
        </w:tc>
      </w:tr>
      <w:tr w14:paraId="1783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2981" w:type="dxa"/>
            <w:gridSpan w:val="2"/>
            <w:tcBorders>
              <w:bottom w:val="single" w:color="auto" w:sz="4" w:space="0"/>
            </w:tcBorders>
            <w:noWrap/>
            <w:vAlign w:val="center"/>
          </w:tcPr>
          <w:p w14:paraId="400AC4EB">
            <w:pPr>
              <w:widowControl/>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合计</w:t>
            </w:r>
          </w:p>
        </w:tc>
        <w:tc>
          <w:tcPr>
            <w:tcW w:w="559" w:type="dxa"/>
            <w:tcBorders>
              <w:bottom w:val="single" w:color="auto" w:sz="4" w:space="0"/>
            </w:tcBorders>
            <w:noWrap/>
            <w:vAlign w:val="center"/>
          </w:tcPr>
          <w:p w14:paraId="482875CF">
            <w:pPr>
              <w:widowControl/>
              <w:jc w:val="center"/>
              <w:rPr>
                <w:rFonts w:hint="eastAsia" w:ascii="仿宋_GB2312" w:hAnsi="仿宋_GB2312" w:eastAsia="仿宋_GB2312" w:cs="仿宋_GB2312"/>
                <w:b/>
                <w:spacing w:val="20"/>
                <w:sz w:val="24"/>
                <w:szCs w:val="24"/>
                <w:lang w:eastAsia="zh-CN"/>
              </w:rPr>
            </w:pPr>
            <w:r>
              <w:rPr>
                <w:rFonts w:hint="eastAsia" w:ascii="仿宋_GB2312" w:hAnsi="仿宋_GB2312" w:eastAsia="仿宋_GB2312" w:cs="仿宋_GB2312"/>
                <w:b/>
                <w:spacing w:val="20"/>
                <w:sz w:val="24"/>
                <w:szCs w:val="24"/>
              </w:rPr>
              <w:t>1</w:t>
            </w:r>
            <w:r>
              <w:rPr>
                <w:rFonts w:hint="eastAsia" w:ascii="仿宋_GB2312" w:hAnsi="仿宋_GB2312" w:eastAsia="仿宋_GB2312" w:cs="仿宋_GB2312"/>
                <w:b/>
                <w:spacing w:val="20"/>
                <w:sz w:val="24"/>
                <w:szCs w:val="24"/>
                <w:lang w:val="en-US" w:eastAsia="zh-CN"/>
              </w:rPr>
              <w:t>3</w:t>
            </w:r>
          </w:p>
        </w:tc>
        <w:tc>
          <w:tcPr>
            <w:tcW w:w="903" w:type="dxa"/>
            <w:tcBorders>
              <w:bottom w:val="single" w:color="auto" w:sz="4" w:space="0"/>
            </w:tcBorders>
            <w:noWrap/>
            <w:vAlign w:val="center"/>
          </w:tcPr>
          <w:p w14:paraId="57423C60">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240</w:t>
            </w:r>
          </w:p>
        </w:tc>
        <w:tc>
          <w:tcPr>
            <w:tcW w:w="645" w:type="dxa"/>
            <w:tcBorders>
              <w:bottom w:val="single" w:color="auto" w:sz="4" w:space="0"/>
            </w:tcBorders>
            <w:noWrap/>
            <w:vAlign w:val="center"/>
          </w:tcPr>
          <w:p w14:paraId="312EB803">
            <w:pPr>
              <w:widowControl/>
              <w:jc w:val="center"/>
              <w:rPr>
                <w:rFonts w:hint="default" w:ascii="仿宋_GB2312" w:hAnsi="仿宋_GB2312" w:eastAsia="仿宋_GB2312" w:cs="仿宋_GB2312"/>
                <w:b/>
                <w:spacing w:val="20"/>
                <w:sz w:val="24"/>
                <w:szCs w:val="24"/>
                <w:lang w:val="en-US" w:eastAsia="zh-CN"/>
              </w:rPr>
            </w:pPr>
            <w:r>
              <w:rPr>
                <w:rFonts w:hint="eastAsia" w:ascii="仿宋_GB2312" w:hAnsi="仿宋_GB2312" w:eastAsia="仿宋_GB2312" w:cs="仿宋_GB2312"/>
                <w:b/>
                <w:spacing w:val="20"/>
                <w:sz w:val="24"/>
                <w:szCs w:val="24"/>
                <w:lang w:val="en-US" w:eastAsia="zh-CN"/>
              </w:rPr>
              <w:t>96</w:t>
            </w:r>
          </w:p>
        </w:tc>
        <w:tc>
          <w:tcPr>
            <w:tcW w:w="688" w:type="dxa"/>
            <w:tcBorders>
              <w:bottom w:val="single" w:color="auto" w:sz="4" w:space="0"/>
            </w:tcBorders>
            <w:noWrap/>
            <w:vAlign w:val="center"/>
          </w:tcPr>
          <w:p w14:paraId="7D8587EF">
            <w:pPr>
              <w:widowControl/>
              <w:jc w:val="center"/>
              <w:rPr>
                <w:rFonts w:ascii="仿宋_GB2312" w:hAnsi="仿宋_GB2312" w:eastAsia="仿宋_GB2312" w:cs="仿宋_GB2312"/>
                <w:b/>
                <w:spacing w:val="20"/>
                <w:sz w:val="24"/>
                <w:szCs w:val="24"/>
              </w:rPr>
            </w:pPr>
          </w:p>
        </w:tc>
        <w:tc>
          <w:tcPr>
            <w:tcW w:w="647" w:type="dxa"/>
            <w:tcBorders>
              <w:bottom w:val="single" w:color="auto" w:sz="4" w:space="0"/>
            </w:tcBorders>
            <w:noWrap/>
            <w:vAlign w:val="center"/>
          </w:tcPr>
          <w:p w14:paraId="5E65D3C7">
            <w:pPr>
              <w:widowControl/>
              <w:jc w:val="center"/>
              <w:rPr>
                <w:rFonts w:hint="default" w:ascii="仿宋_GB2312" w:hAnsi="仿宋_GB2312" w:eastAsia="仿宋_GB2312" w:cs="仿宋_GB2312"/>
                <w:b/>
                <w:spacing w:val="20"/>
                <w:sz w:val="24"/>
                <w:szCs w:val="24"/>
                <w:lang w:val="en-US" w:eastAsia="zh-CN"/>
              </w:rPr>
            </w:pPr>
            <w:r>
              <w:rPr>
                <w:rFonts w:hint="eastAsia" w:ascii="仿宋_GB2312" w:hAnsi="仿宋_GB2312" w:eastAsia="仿宋_GB2312" w:cs="仿宋_GB2312"/>
                <w:b/>
                <w:spacing w:val="20"/>
                <w:sz w:val="24"/>
                <w:szCs w:val="24"/>
              </w:rPr>
              <w:t>1</w:t>
            </w:r>
            <w:r>
              <w:rPr>
                <w:rFonts w:hint="eastAsia" w:ascii="仿宋_GB2312" w:hAnsi="仿宋_GB2312" w:eastAsia="仿宋_GB2312" w:cs="仿宋_GB2312"/>
                <w:b/>
                <w:spacing w:val="20"/>
                <w:sz w:val="24"/>
                <w:szCs w:val="24"/>
                <w:lang w:val="en-US" w:eastAsia="zh-CN"/>
              </w:rPr>
              <w:t>44</w:t>
            </w:r>
          </w:p>
        </w:tc>
        <w:tc>
          <w:tcPr>
            <w:tcW w:w="1148" w:type="dxa"/>
            <w:tcBorders>
              <w:bottom w:val="single" w:color="auto" w:sz="4" w:space="0"/>
            </w:tcBorders>
            <w:noWrap/>
            <w:vAlign w:val="center"/>
          </w:tcPr>
          <w:p w14:paraId="1D6F7B5D">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w:t>
            </w:r>
          </w:p>
        </w:tc>
        <w:tc>
          <w:tcPr>
            <w:tcW w:w="1327" w:type="dxa"/>
            <w:tcBorders>
              <w:bottom w:val="single" w:color="auto" w:sz="4" w:space="0"/>
            </w:tcBorders>
            <w:noWrap/>
            <w:vAlign w:val="center"/>
          </w:tcPr>
          <w:p w14:paraId="0FEC703B">
            <w:pPr>
              <w:widowControl/>
              <w:jc w:val="center"/>
              <w:rPr>
                <w:rFonts w:ascii="仿宋_GB2312" w:hAnsi="仿宋_GB2312" w:eastAsia="仿宋_GB2312" w:cs="仿宋_GB2312"/>
                <w:b/>
                <w:spacing w:val="20"/>
                <w:sz w:val="24"/>
                <w:szCs w:val="24"/>
              </w:rPr>
            </w:pPr>
            <w:r>
              <w:rPr>
                <w:rFonts w:hint="eastAsia" w:ascii="仿宋_GB2312" w:hAnsi="仿宋_GB2312" w:eastAsia="仿宋_GB2312" w:cs="仿宋_GB2312"/>
                <w:b/>
                <w:spacing w:val="20"/>
                <w:sz w:val="24"/>
                <w:szCs w:val="24"/>
              </w:rPr>
              <w:t>—</w:t>
            </w:r>
          </w:p>
        </w:tc>
      </w:tr>
    </w:tbl>
    <w:p w14:paraId="574AC2C9">
      <w:pPr>
        <w:pStyle w:val="13"/>
        <w:numPr>
          <w:ilvl w:val="0"/>
          <w:numId w:val="1"/>
        </w:numPr>
        <w:ind w:firstLineChars="0"/>
        <w:jc w:val="left"/>
        <w:rPr>
          <w:b/>
          <w:sz w:val="28"/>
          <w:szCs w:val="28"/>
        </w:rPr>
      </w:pPr>
      <w:r>
        <w:rPr>
          <w:rFonts w:hint="eastAsia"/>
          <w:b/>
          <w:sz w:val="28"/>
          <w:szCs w:val="28"/>
        </w:rPr>
        <w:t>就业方向</w:t>
      </w:r>
    </w:p>
    <w:p w14:paraId="0D1A4E8D">
      <w:pPr>
        <w:pStyle w:val="7"/>
        <w:shd w:val="clear" w:color="auto" w:fill="FFFFFF"/>
        <w:spacing w:before="0" w:beforeAutospacing="0" w:after="0" w:afterAutospacing="0"/>
        <w:ind w:firstLine="452" w:firstLineChars="200"/>
        <w:jc w:val="both"/>
        <w:rPr>
          <w:rFonts w:ascii="Microsoft YaHei UI" w:hAnsi="Microsoft YaHei UI" w:eastAsia="Microsoft YaHei UI"/>
          <w:color w:val="34363C"/>
          <w:spacing w:val="8"/>
          <w:sz w:val="21"/>
          <w:szCs w:val="21"/>
        </w:rPr>
      </w:pPr>
      <w:r>
        <w:rPr>
          <w:rFonts w:hint="eastAsia" w:ascii="Microsoft YaHei UI" w:hAnsi="Microsoft YaHei UI" w:eastAsia="Microsoft YaHei UI"/>
          <w:color w:val="34363C"/>
          <w:spacing w:val="8"/>
          <w:sz w:val="21"/>
          <w:szCs w:val="21"/>
        </w:rPr>
        <w:t>跨境电商微专业主要面向各类跨境电商企业、外贸企业、电商数据分析与运营企业，从事跨境电子商务平台运营、市场分析、视觉设计、跨境电子商务网络营销与活动策划、跨境电子商务客户服务、国际物流与供应链管理、国际市场推广等工作。</w:t>
      </w:r>
    </w:p>
    <w:p w14:paraId="79BD89D6">
      <w:pPr>
        <w:pStyle w:val="7"/>
        <w:shd w:val="clear" w:color="auto" w:fill="FFFFFF"/>
        <w:spacing w:before="0" w:beforeAutospacing="0" w:after="0" w:afterAutospacing="0"/>
        <w:ind w:firstLine="452" w:firstLineChars="200"/>
        <w:jc w:val="both"/>
        <w:rPr>
          <w:rFonts w:ascii="Microsoft YaHei UI" w:hAnsi="Microsoft YaHei UI" w:eastAsia="Microsoft YaHei UI"/>
          <w:color w:val="34363C"/>
          <w:spacing w:val="8"/>
          <w:sz w:val="21"/>
          <w:szCs w:val="21"/>
        </w:rPr>
      </w:pPr>
      <w:r>
        <w:rPr>
          <w:rFonts w:hint="eastAsia" w:ascii="Microsoft YaHei UI" w:hAnsi="Microsoft YaHei UI" w:eastAsia="Microsoft YaHei UI"/>
          <w:color w:val="34363C"/>
          <w:spacing w:val="8"/>
          <w:sz w:val="21"/>
          <w:szCs w:val="21"/>
          <w:shd w:val="clear" w:color="auto" w:fill="FFFFFF"/>
        </w:rPr>
        <w:t>《“十四五”电子商务发展规划》的数据显示，到2025年，我国电子商务领域相关从业人数将达到7000万; 跨境电子商务交易额将增长至2.5万亿元。未来五年，预计我国跨境电商人才缺口达985万。</w:t>
      </w:r>
    </w:p>
    <w:p w14:paraId="353B5B5D">
      <w:pPr>
        <w:pStyle w:val="7"/>
        <w:shd w:val="clear" w:color="auto" w:fill="FFFFFF"/>
        <w:spacing w:before="0" w:beforeAutospacing="0" w:after="0" w:afterAutospacing="0"/>
        <w:ind w:left="1799" w:leftChars="228" w:hanging="1320" w:hangingChars="550"/>
        <w:rPr>
          <w:rFonts w:ascii="Microsoft YaHei UI" w:hAnsi="Microsoft YaHei UI" w:eastAsia="Microsoft YaHei UI"/>
          <w:color w:val="34363C"/>
          <w:spacing w:val="8"/>
          <w:sz w:val="20"/>
          <w:szCs w:val="20"/>
        </w:rPr>
      </w:pPr>
      <w:r>
        <w:drawing>
          <wp:inline distT="0" distB="0" distL="0" distR="0">
            <wp:extent cx="3864610" cy="2038350"/>
            <wp:effectExtent l="19050" t="0" r="2358" b="0"/>
            <wp:docPr id="4" name="图片 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
                    <pic:cNvPicPr>
                      <a:picLocks noChangeAspect="1" noChangeArrowheads="1"/>
                    </pic:cNvPicPr>
                  </pic:nvPicPr>
                  <pic:blipFill>
                    <a:blip r:embed="rId5"/>
                    <a:srcRect/>
                    <a:stretch>
                      <a:fillRect/>
                    </a:stretch>
                  </pic:blipFill>
                  <pic:spPr>
                    <a:xfrm>
                      <a:off x="0" y="0"/>
                      <a:ext cx="3864792" cy="2038350"/>
                    </a:xfrm>
                    <a:prstGeom prst="rect">
                      <a:avLst/>
                    </a:prstGeom>
                    <a:noFill/>
                    <a:ln w="9525">
                      <a:noFill/>
                      <a:miter lim="800000"/>
                      <a:headEnd/>
                      <a:tailEnd/>
                    </a:ln>
                  </pic:spPr>
                </pic:pic>
              </a:graphicData>
            </a:graphic>
          </wp:inline>
        </w:drawing>
      </w:r>
      <w:r>
        <w:rPr>
          <w:rFonts w:hint="eastAsia" w:ascii="Microsoft YaHei UI" w:hAnsi="Microsoft YaHei UI" w:eastAsia="Microsoft YaHei UI"/>
          <w:color w:val="34363C"/>
          <w:spacing w:val="8"/>
          <w:sz w:val="18"/>
          <w:szCs w:val="18"/>
          <w:shd w:val="clear" w:color="auto" w:fill="FFFFFF"/>
        </w:rPr>
        <w:t xml:space="preserve">              “十四五”电子商务发展主要指标</w:t>
      </w:r>
    </w:p>
    <w:p w14:paraId="7614D063">
      <w:pPr>
        <w:pStyle w:val="13"/>
        <w:ind w:left="360" w:firstLine="0" w:firstLineChars="0"/>
        <w:jc w:val="left"/>
        <w:rPr>
          <w:b/>
          <w:sz w:val="28"/>
          <w:szCs w:val="28"/>
        </w:rPr>
      </w:pPr>
    </w:p>
    <w:p w14:paraId="736AE199">
      <w:pPr>
        <w:pStyle w:val="13"/>
        <w:numPr>
          <w:ilvl w:val="0"/>
          <w:numId w:val="1"/>
        </w:numPr>
        <w:ind w:firstLineChars="0"/>
        <w:jc w:val="left"/>
        <w:rPr>
          <w:b/>
          <w:sz w:val="28"/>
          <w:szCs w:val="28"/>
        </w:rPr>
      </w:pPr>
      <w:r>
        <w:rPr>
          <w:rFonts w:hint="eastAsia"/>
          <w:b/>
          <w:sz w:val="28"/>
          <w:szCs w:val="28"/>
        </w:rPr>
        <w:t>企业招聘职位</w:t>
      </w:r>
    </w:p>
    <w:p w14:paraId="169719D1">
      <w:pPr>
        <w:pStyle w:val="13"/>
        <w:ind w:left="360" w:firstLine="0" w:firstLineChars="0"/>
        <w:jc w:val="left"/>
        <w:rPr>
          <w:rFonts w:ascii="Microsoft YaHei UI" w:hAnsi="Microsoft YaHei UI" w:eastAsia="Microsoft YaHei UI"/>
          <w:color w:val="3E3E3E"/>
          <w:spacing w:val="8"/>
          <w:szCs w:val="21"/>
          <w:shd w:val="clear" w:color="auto" w:fill="FFFFFF"/>
        </w:rPr>
      </w:pPr>
      <w:r>
        <w:rPr>
          <w:rFonts w:hint="eastAsia" w:ascii="Microsoft YaHei UI" w:hAnsi="Microsoft YaHei UI" w:eastAsia="Microsoft YaHei UI"/>
          <w:color w:val="3E3E3E"/>
          <w:spacing w:val="8"/>
          <w:szCs w:val="21"/>
          <w:shd w:val="clear" w:color="auto" w:fill="FFFFFF"/>
        </w:rPr>
        <w:t>可以从主流招聘平台（如：https://www.lagou.com/）搜索跨境电商相关职位，我们发现招聘跨境电商的企业和职位非常多，部分截图如下：</w:t>
      </w:r>
    </w:p>
    <w:p w14:paraId="3E148ED4">
      <w:pPr>
        <w:pStyle w:val="13"/>
        <w:ind w:left="360" w:firstLine="0" w:firstLineChars="0"/>
        <w:jc w:val="left"/>
        <w:rPr>
          <w:b/>
          <w:sz w:val="28"/>
          <w:szCs w:val="28"/>
        </w:rPr>
      </w:pPr>
      <w:r>
        <w:rPr>
          <w:rFonts w:hint="eastAsia"/>
          <w:b/>
          <w:sz w:val="28"/>
          <w:szCs w:val="28"/>
        </w:rPr>
        <w:drawing>
          <wp:inline distT="0" distB="0" distL="0" distR="0">
            <wp:extent cx="5274310" cy="3888105"/>
            <wp:effectExtent l="1905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6"/>
                    <a:srcRect/>
                    <a:stretch>
                      <a:fillRect/>
                    </a:stretch>
                  </pic:blipFill>
                  <pic:spPr>
                    <a:xfrm>
                      <a:off x="0" y="0"/>
                      <a:ext cx="5274310" cy="3888444"/>
                    </a:xfrm>
                    <a:prstGeom prst="rect">
                      <a:avLst/>
                    </a:prstGeom>
                    <a:noFill/>
                    <a:ln w="9525">
                      <a:noFill/>
                      <a:miter lim="800000"/>
                      <a:headEnd/>
                      <a:tailEnd/>
                    </a:ln>
                  </pic:spPr>
                </pic:pic>
              </a:graphicData>
            </a:graphic>
          </wp:inline>
        </w:drawing>
      </w:r>
    </w:p>
    <w:p w14:paraId="5E63D66C">
      <w:pPr>
        <w:pStyle w:val="13"/>
        <w:ind w:left="360" w:firstLine="0" w:firstLineChars="0"/>
        <w:jc w:val="left"/>
        <w:rPr>
          <w:rFonts w:ascii="Microsoft YaHei UI" w:hAnsi="Microsoft YaHei UI" w:eastAsia="Microsoft YaHei UI"/>
          <w:color w:val="3E3E3E"/>
          <w:spacing w:val="8"/>
          <w:szCs w:val="21"/>
          <w:shd w:val="clear" w:color="auto" w:fill="FFFFFF"/>
        </w:rPr>
      </w:pPr>
      <w:r>
        <w:rPr>
          <w:rFonts w:ascii="Microsoft YaHei UI" w:hAnsi="Microsoft YaHei UI" w:eastAsia="Microsoft YaHei UI"/>
          <w:color w:val="3E3E3E"/>
          <w:spacing w:val="8"/>
          <w:szCs w:val="21"/>
          <w:shd w:val="clear" w:color="auto" w:fill="FFFFFF"/>
        </w:rPr>
        <w:t>目前我国跨境电商行业热招岗位主要包括：</w:t>
      </w:r>
      <w:r>
        <w:rPr>
          <w:rFonts w:ascii="Microsoft YaHei UI" w:hAnsi="Microsoft YaHei UI" w:eastAsia="Microsoft YaHei UI"/>
          <w:b/>
          <w:bCs/>
          <w:color w:val="3E3E3E"/>
          <w:spacing w:val="8"/>
          <w:szCs w:val="21"/>
          <w:shd w:val="clear" w:color="auto" w:fill="FFFFFF"/>
        </w:rPr>
        <w:t>跨境电商总监/经理、跨境电商运营总监/经理/专员、市场总监/经理/专员、品牌总监/经理、产品总监/经理、数据分析师、客服经理、采购总监/经理/专员、生意分析总监/经理、财务总监/经理/专员、市场推广总监/经理/专员、数字营销总监/经理、客户关系管理总监/经理、直播运营总监/经理、法务总监/经理等。</w:t>
      </w:r>
    </w:p>
    <w:p w14:paraId="61BFBDD0">
      <w:pPr>
        <w:pStyle w:val="13"/>
        <w:numPr>
          <w:ilvl w:val="0"/>
          <w:numId w:val="1"/>
        </w:numPr>
        <w:ind w:firstLineChars="0"/>
        <w:jc w:val="left"/>
        <w:rPr>
          <w:b/>
          <w:sz w:val="28"/>
          <w:szCs w:val="28"/>
        </w:rPr>
      </w:pPr>
      <w:r>
        <w:rPr>
          <w:rFonts w:hint="eastAsia"/>
          <w:b/>
          <w:sz w:val="28"/>
          <w:szCs w:val="28"/>
        </w:rPr>
        <w:t>岗位的职业发展</w:t>
      </w:r>
    </w:p>
    <w:p w14:paraId="2BA5778C">
      <w:pPr>
        <w:pStyle w:val="7"/>
        <w:shd w:val="clear" w:color="auto" w:fill="FFFFFF"/>
        <w:spacing w:before="0" w:beforeAutospacing="0" w:after="0" w:afterAutospacing="0"/>
        <w:ind w:firstLine="452" w:firstLineChars="200"/>
        <w:jc w:val="both"/>
        <w:rPr>
          <w:rFonts w:ascii="Microsoft YaHei UI" w:hAnsi="Microsoft YaHei UI" w:eastAsia="Microsoft YaHei UI"/>
          <w:color w:val="34363C"/>
          <w:spacing w:val="8"/>
          <w:sz w:val="21"/>
          <w:szCs w:val="21"/>
        </w:rPr>
      </w:pPr>
      <w:r>
        <w:rPr>
          <w:rFonts w:hint="eastAsia" w:ascii="Microsoft YaHei UI" w:hAnsi="Microsoft YaHei UI" w:eastAsia="Microsoft YaHei UI"/>
          <w:color w:val="34363C"/>
          <w:spacing w:val="8"/>
          <w:sz w:val="21"/>
          <w:szCs w:val="21"/>
        </w:rPr>
        <w:t>目前懂跨境电商的人才缺口很大，如果你懂了跨境电商相关的一些知识，不但可以在各类跨境电商企业、外贸企业、电商数据分析与运营企业从事各种和跨境电商相关的职业，在任何用到跨境电商相关知识的行业如物流、支付金融类企业都有很大的优势，如下图是经常用到跨境电商知识的行业：</w:t>
      </w:r>
    </w:p>
    <w:p w14:paraId="6EBDE1B6">
      <w:pPr>
        <w:jc w:val="left"/>
        <w:rPr>
          <w:rFonts w:ascii="Microsoft YaHei UI" w:hAnsi="Microsoft YaHei UI" w:eastAsia="Microsoft YaHei UI"/>
          <w:color w:val="3E3E3E"/>
          <w:spacing w:val="8"/>
          <w:szCs w:val="21"/>
          <w:shd w:val="clear" w:color="auto" w:fill="FFFFFF"/>
        </w:rPr>
      </w:pPr>
      <w:r>
        <w:drawing>
          <wp:inline distT="0" distB="0" distL="0" distR="0">
            <wp:extent cx="3952875" cy="2838450"/>
            <wp:effectExtent l="19050" t="0" r="9525" b="0"/>
            <wp:docPr id="23" name="图片 2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
                    <pic:cNvPicPr>
                      <a:picLocks noChangeAspect="1" noChangeArrowheads="1"/>
                    </pic:cNvPicPr>
                  </pic:nvPicPr>
                  <pic:blipFill>
                    <a:blip r:embed="rId7"/>
                    <a:srcRect/>
                    <a:stretch>
                      <a:fillRect/>
                    </a:stretch>
                  </pic:blipFill>
                  <pic:spPr>
                    <a:xfrm>
                      <a:off x="0" y="0"/>
                      <a:ext cx="3952875" cy="2838450"/>
                    </a:xfrm>
                    <a:prstGeom prst="rect">
                      <a:avLst/>
                    </a:prstGeom>
                    <a:noFill/>
                    <a:ln w="9525">
                      <a:noFill/>
                      <a:miter lim="800000"/>
                      <a:headEnd/>
                      <a:tailEnd/>
                    </a:ln>
                  </pic:spPr>
                </pic:pic>
              </a:graphicData>
            </a:graphic>
          </wp:inline>
        </w:drawing>
      </w:r>
    </w:p>
    <w:p w14:paraId="4D7DC513">
      <w:pPr>
        <w:jc w:val="left"/>
        <w:rPr>
          <w:b/>
          <w:sz w:val="28"/>
          <w:szCs w:val="28"/>
        </w:rPr>
      </w:pPr>
      <w:r>
        <w:rPr>
          <w:rFonts w:ascii="Microsoft YaHei UI" w:hAnsi="Microsoft YaHei UI" w:eastAsia="Microsoft YaHei UI"/>
          <w:color w:val="3E3E3E"/>
          <w:spacing w:val="8"/>
          <w:szCs w:val="21"/>
          <w:shd w:val="clear" w:color="auto" w:fill="FFFFFF"/>
        </w:rPr>
        <w:drawing>
          <wp:inline distT="0" distB="0" distL="0" distR="0">
            <wp:extent cx="4627245" cy="2628900"/>
            <wp:effectExtent l="19050" t="0" r="1898" b="0"/>
            <wp:docPr id="2"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
                    <pic:cNvPicPr>
                      <a:picLocks noChangeAspect="1" noChangeArrowheads="1"/>
                    </pic:cNvPicPr>
                  </pic:nvPicPr>
                  <pic:blipFill>
                    <a:blip r:embed="rId8"/>
                    <a:srcRect/>
                    <a:stretch>
                      <a:fillRect/>
                    </a:stretch>
                  </pic:blipFill>
                  <pic:spPr>
                    <a:xfrm>
                      <a:off x="0" y="0"/>
                      <a:ext cx="4627252" cy="2628900"/>
                    </a:xfrm>
                    <a:prstGeom prst="rect">
                      <a:avLst/>
                    </a:prstGeom>
                    <a:noFill/>
                    <a:ln w="9525">
                      <a:noFill/>
                      <a:miter lim="800000"/>
                      <a:headEnd/>
                      <a:tailEnd/>
                    </a:ln>
                  </pic:spPr>
                </pic:pic>
              </a:graphicData>
            </a:graphic>
          </wp:inline>
        </w:drawing>
      </w:r>
    </w:p>
    <w:p w14:paraId="234BC4A7">
      <w:pPr>
        <w:pStyle w:val="13"/>
        <w:numPr>
          <w:ilvl w:val="0"/>
          <w:numId w:val="1"/>
        </w:numPr>
        <w:ind w:firstLineChars="0"/>
        <w:jc w:val="left"/>
        <w:rPr>
          <w:b/>
          <w:sz w:val="28"/>
          <w:szCs w:val="28"/>
        </w:rPr>
      </w:pPr>
      <w:r>
        <w:rPr>
          <w:rFonts w:hint="eastAsia"/>
          <w:b/>
          <w:sz w:val="28"/>
          <w:szCs w:val="28"/>
        </w:rPr>
        <w:t>合作公司联盟</w:t>
      </w:r>
    </w:p>
    <w:p w14:paraId="5E237F1F">
      <w:pPr>
        <w:jc w:val="center"/>
        <w:rPr>
          <w:b/>
          <w:sz w:val="28"/>
          <w:szCs w:val="28"/>
        </w:rPr>
      </w:pPr>
    </w:p>
    <w:p w14:paraId="07B216DC">
      <w:pPr>
        <w:jc w:val="center"/>
        <w:rPr>
          <w:b/>
          <w:sz w:val="28"/>
          <w:szCs w:val="28"/>
        </w:rPr>
      </w:pPr>
      <w:r>
        <w:rPr>
          <w:b/>
          <w:sz w:val="28"/>
          <w:szCs w:val="28"/>
        </w:rPr>
        <w:drawing>
          <wp:inline distT="0" distB="0" distL="0" distR="0">
            <wp:extent cx="1550670" cy="96202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srcRect/>
                    <a:stretch>
                      <a:fillRect/>
                    </a:stretch>
                  </pic:blipFill>
                  <pic:spPr>
                    <a:xfrm>
                      <a:off x="0" y="0"/>
                      <a:ext cx="1550726" cy="962025"/>
                    </a:xfrm>
                    <a:prstGeom prst="rect">
                      <a:avLst/>
                    </a:prstGeom>
                    <a:noFill/>
                    <a:ln w="9525">
                      <a:noFill/>
                      <a:miter lim="800000"/>
                      <a:headEnd/>
                      <a:tailEnd/>
                    </a:ln>
                  </pic:spPr>
                </pic:pic>
              </a:graphicData>
            </a:graphic>
          </wp:inline>
        </w:drawing>
      </w:r>
      <w:r>
        <w:rPr>
          <w:b/>
          <w:sz w:val="28"/>
          <w:szCs w:val="28"/>
        </w:rPr>
        <w:t xml:space="preserve"> </w:t>
      </w:r>
      <w:r>
        <w:rPr>
          <w:b/>
          <w:sz w:val="28"/>
          <w:szCs w:val="28"/>
        </w:rPr>
        <w:drawing>
          <wp:inline distT="0" distB="0" distL="0" distR="0">
            <wp:extent cx="1590675" cy="934720"/>
            <wp:effectExtent l="19050" t="0" r="9525"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10"/>
                    <a:srcRect/>
                    <a:stretch>
                      <a:fillRect/>
                    </a:stretch>
                  </pic:blipFill>
                  <pic:spPr>
                    <a:xfrm>
                      <a:off x="0" y="0"/>
                      <a:ext cx="1592448" cy="935912"/>
                    </a:xfrm>
                    <a:prstGeom prst="rect">
                      <a:avLst/>
                    </a:prstGeom>
                    <a:noFill/>
                    <a:ln w="9525">
                      <a:noFill/>
                      <a:miter lim="800000"/>
                      <a:headEnd/>
                      <a:tailEnd/>
                    </a:ln>
                  </pic:spPr>
                </pic:pic>
              </a:graphicData>
            </a:graphic>
          </wp:inline>
        </w:drawing>
      </w:r>
      <w:r>
        <w:rPr>
          <w:b/>
          <w:sz w:val="28"/>
          <w:szCs w:val="28"/>
        </w:rPr>
        <w:t xml:space="preserve"> </w:t>
      </w:r>
      <w:r>
        <w:rPr>
          <w:b/>
          <w:sz w:val="28"/>
          <w:szCs w:val="28"/>
        </w:rPr>
        <w:drawing>
          <wp:inline distT="0" distB="0" distL="0" distR="0">
            <wp:extent cx="2562225" cy="666750"/>
            <wp:effectExtent l="1905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
                    <a:srcRect/>
                    <a:stretch>
                      <a:fillRect/>
                    </a:stretch>
                  </pic:blipFill>
                  <pic:spPr>
                    <a:xfrm>
                      <a:off x="0" y="0"/>
                      <a:ext cx="2562225" cy="666750"/>
                    </a:xfrm>
                    <a:prstGeom prst="rect">
                      <a:avLst/>
                    </a:prstGeom>
                    <a:noFill/>
                    <a:ln w="9525">
                      <a:noFill/>
                      <a:miter lim="800000"/>
                      <a:headEnd/>
                      <a:tailEnd/>
                    </a:ln>
                  </pic:spPr>
                </pic:pic>
              </a:graphicData>
            </a:graphic>
          </wp:inline>
        </w:drawing>
      </w:r>
      <w:r>
        <w:rPr>
          <w:b/>
          <w:sz w:val="28"/>
          <w:szCs w:val="28"/>
        </w:rPr>
        <w:drawing>
          <wp:inline distT="0" distB="0" distL="0" distR="0">
            <wp:extent cx="2200275" cy="809625"/>
            <wp:effectExtent l="19050" t="0" r="9525"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12"/>
                    <a:srcRect/>
                    <a:stretch>
                      <a:fillRect/>
                    </a:stretch>
                  </pic:blipFill>
                  <pic:spPr>
                    <a:xfrm>
                      <a:off x="0" y="0"/>
                      <a:ext cx="2200275" cy="809625"/>
                    </a:xfrm>
                    <a:prstGeom prst="rect">
                      <a:avLst/>
                    </a:prstGeom>
                    <a:noFill/>
                    <a:ln w="9525">
                      <a:noFill/>
                      <a:miter lim="800000"/>
                      <a:headEnd/>
                      <a:tailEnd/>
                    </a:ln>
                  </pic:spPr>
                </pic:pic>
              </a:graphicData>
            </a:graphic>
          </wp:inline>
        </w:drawing>
      </w:r>
      <w:r>
        <w:rPr>
          <w:b/>
          <w:sz w:val="28"/>
          <w:szCs w:val="28"/>
        </w:rPr>
        <w:t xml:space="preserve"> </w:t>
      </w:r>
      <w:r>
        <w:rPr>
          <w:b/>
          <w:sz w:val="28"/>
          <w:szCs w:val="28"/>
        </w:rPr>
        <w:drawing>
          <wp:inline distT="0" distB="0" distL="0" distR="0">
            <wp:extent cx="1771650" cy="1838325"/>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a:srcRect/>
                    <a:stretch>
                      <a:fillRect/>
                    </a:stretch>
                  </pic:blipFill>
                  <pic:spPr>
                    <a:xfrm>
                      <a:off x="0" y="0"/>
                      <a:ext cx="1771650" cy="1838325"/>
                    </a:xfrm>
                    <a:prstGeom prst="rect">
                      <a:avLst/>
                    </a:prstGeom>
                    <a:noFill/>
                    <a:ln w="9525">
                      <a:noFill/>
                      <a:miter lim="800000"/>
                      <a:headEnd/>
                      <a:tailEnd/>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t xml:space="preserve"> </w:t>
      </w:r>
      <w:r>
        <w:rPr>
          <w:b/>
          <w:sz w:val="28"/>
          <w:szCs w:val="28"/>
        </w:rPr>
        <w:drawing>
          <wp:inline distT="0" distB="0" distL="0" distR="0">
            <wp:extent cx="2400300" cy="2124075"/>
            <wp:effectExtent l="19050" t="0" r="0" b="0"/>
            <wp:docPr id="22" name="图片 22" descr="C:\Users\Administrator\Documents\WeChat Files\wxid_50h6t9c69yjq21\FileStorage\Temp\170834907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ocuments\WeChat Files\wxid_50h6t9c69yjq21\FileStorage\Temp\1708349072019.png"/>
                    <pic:cNvPicPr>
                      <a:picLocks noChangeAspect="1" noChangeArrowheads="1"/>
                    </pic:cNvPicPr>
                  </pic:nvPicPr>
                  <pic:blipFill>
                    <a:blip r:embed="rId14"/>
                    <a:srcRect/>
                    <a:stretch>
                      <a:fillRect/>
                    </a:stretch>
                  </pic:blipFill>
                  <pic:spPr>
                    <a:xfrm>
                      <a:off x="0" y="0"/>
                      <a:ext cx="2400300" cy="2124075"/>
                    </a:xfrm>
                    <a:prstGeom prst="rect">
                      <a:avLst/>
                    </a:prstGeom>
                    <a:noFill/>
                    <a:ln w="9525">
                      <a:noFill/>
                      <a:miter lim="800000"/>
                      <a:headEnd/>
                      <a:tailEnd/>
                    </a:ln>
                  </pic:spPr>
                </pic:pic>
              </a:graphicData>
            </a:graphic>
          </wp:inline>
        </w:drawing>
      </w:r>
    </w:p>
    <w:p w14:paraId="59039FFE">
      <w:pPr>
        <w:spacing w:before="0" w:beforeAutospacing="0" w:after="0" w:afterAutospacing="0" w:line="360" w:lineRule="auto"/>
        <w:rPr>
          <w:rFonts w:hint="default" w:ascii="宋体" w:hAnsi="宋体" w:eastAsia="宋体" w:cs="仿宋_GB2312"/>
          <w:b/>
          <w:bCs/>
          <w:sz w:val="28"/>
          <w:szCs w:val="24"/>
          <w:lang w:val="en-US" w:eastAsia="zh-CN"/>
        </w:rPr>
      </w:pPr>
    </w:p>
    <w:p w14:paraId="13872756">
      <w:pPr>
        <w:spacing w:before="0" w:beforeAutospacing="0" w:after="0" w:afterAutospacing="0" w:line="360" w:lineRule="auto"/>
        <w:ind w:firstLine="562" w:firstLineChars="200"/>
        <w:rPr>
          <w:rFonts w:hint="eastAsia" w:ascii="宋体" w:hAnsi="宋体" w:eastAsia="宋体" w:cs="仿宋_GB2312"/>
          <w:b/>
          <w:bCs/>
          <w:sz w:val="28"/>
          <w:szCs w:val="24"/>
          <w:lang w:eastAsia="zh-CN"/>
        </w:rPr>
      </w:pPr>
      <w:r>
        <w:rPr>
          <w:rFonts w:hint="eastAsia" w:ascii="宋体" w:hAnsi="宋体" w:eastAsia="宋体" w:cs="仿宋_GB2312"/>
          <w:b/>
          <w:bCs/>
          <w:sz w:val="28"/>
          <w:szCs w:val="24"/>
          <w:lang w:val="en-US" w:eastAsia="zh-CN"/>
        </w:rPr>
        <w:t>二、</w:t>
      </w:r>
      <w:r>
        <w:rPr>
          <w:rFonts w:hint="eastAsia" w:ascii="宋体" w:hAnsi="宋体" w:eastAsia="宋体" w:cs="仿宋_GB2312"/>
          <w:b/>
          <w:bCs/>
          <w:sz w:val="28"/>
          <w:szCs w:val="24"/>
          <w:lang w:eastAsia="zh-CN"/>
        </w:rPr>
        <w:t>学生修读资格条件</w:t>
      </w:r>
    </w:p>
    <w:p w14:paraId="33723F7F">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限2023-2025级学生报名，对《跨境电商》微专业感兴趣，</w:t>
      </w:r>
      <w:r>
        <w:rPr>
          <w:rFonts w:ascii="宋体" w:hAnsi="宋体" w:eastAsia="宋体" w:cs="宋体"/>
          <w:color w:val="auto"/>
          <w:kern w:val="0"/>
          <w:sz w:val="24"/>
          <w:szCs w:val="24"/>
          <w:lang w:val="en-US" w:eastAsia="zh-CN" w:bidi="ar-SA"/>
        </w:rPr>
        <w:t>主修年限内学有余力</w:t>
      </w:r>
      <w:r>
        <w:rPr>
          <w:rFonts w:hint="eastAsia" w:ascii="宋体" w:hAnsi="宋体" w:eastAsia="宋体" w:cs="宋体"/>
          <w:color w:val="auto"/>
          <w:kern w:val="0"/>
          <w:sz w:val="24"/>
          <w:szCs w:val="24"/>
          <w:lang w:val="en-US" w:eastAsia="zh-CN" w:bidi="ar-SA"/>
        </w:rPr>
        <w:t>且通过CET4的在校本科生，</w:t>
      </w:r>
      <w:r>
        <w:rPr>
          <w:rFonts w:ascii="宋体" w:hAnsi="宋体" w:eastAsia="宋体" w:cs="宋体"/>
          <w:color w:val="auto"/>
          <w:kern w:val="0"/>
          <w:sz w:val="24"/>
          <w:szCs w:val="24"/>
          <w:lang w:val="en-US" w:eastAsia="zh-CN" w:bidi="ar-SA"/>
        </w:rPr>
        <w:t>应在第二学期至第六学期提出修读报名申请</w:t>
      </w:r>
      <w:r>
        <w:rPr>
          <w:rFonts w:hint="eastAsia" w:ascii="宋体" w:hAnsi="宋体" w:eastAsia="宋体" w:cs="宋体"/>
          <w:color w:val="auto"/>
          <w:kern w:val="0"/>
          <w:sz w:val="24"/>
          <w:szCs w:val="24"/>
          <w:lang w:val="en-US" w:eastAsia="zh-CN" w:bidi="ar-SA"/>
        </w:rPr>
        <w:t>。</w:t>
      </w:r>
    </w:p>
    <w:p w14:paraId="675F1C87">
      <w:pPr>
        <w:numPr>
          <w:ilvl w:val="-1"/>
          <w:numId w:val="0"/>
        </w:numPr>
        <w:spacing w:line="360" w:lineRule="auto"/>
        <w:ind w:firstLine="480" w:firstLineChars="200"/>
        <w:rPr>
          <w:rFonts w:hint="default" w:ascii="宋体" w:hAnsi="宋体" w:eastAsia="宋体" w:cs="宋体"/>
          <w:color w:val="auto"/>
          <w:kern w:val="0"/>
          <w:sz w:val="24"/>
          <w:szCs w:val="24"/>
          <w:lang w:val="en-US" w:eastAsia="zh-CN" w:bidi="ar-SA"/>
        </w:rPr>
      </w:pPr>
    </w:p>
    <w:p w14:paraId="269B4938">
      <w:pPr>
        <w:spacing w:before="0" w:beforeAutospacing="0" w:after="0" w:afterAutospacing="0" w:line="360" w:lineRule="auto"/>
        <w:ind w:firstLine="562" w:firstLineChars="200"/>
        <w:rPr>
          <w:rFonts w:hint="eastAsia" w:ascii="宋体" w:hAnsi="宋体" w:eastAsia="宋体" w:cs="仿宋_GB2312"/>
          <w:b/>
          <w:bCs/>
          <w:sz w:val="28"/>
          <w:szCs w:val="24"/>
          <w:lang w:eastAsia="zh-CN"/>
        </w:rPr>
      </w:pPr>
      <w:r>
        <w:rPr>
          <w:rFonts w:hint="eastAsia" w:ascii="宋体" w:hAnsi="宋体" w:eastAsia="宋体" w:cs="仿宋_GB2312"/>
          <w:b/>
          <w:bCs/>
          <w:sz w:val="28"/>
          <w:szCs w:val="24"/>
          <w:lang w:eastAsia="zh-CN"/>
        </w:rPr>
        <w:t>三、报名办法及相关说明</w:t>
      </w:r>
    </w:p>
    <w:p w14:paraId="6476DB6A">
      <w:pPr>
        <w:pStyle w:val="7"/>
        <w:spacing w:before="0" w:beforeAutospacing="0" w:after="0" w:afterAutospacing="0" w:line="360" w:lineRule="auto"/>
        <w:ind w:firstLine="482" w:firstLineChars="200"/>
        <w:rPr>
          <w:rFonts w:hint="eastAsia" w:eastAsia="宋体"/>
          <w:lang w:eastAsia="zh-CN"/>
        </w:rPr>
      </w:pPr>
      <w:r>
        <w:rPr>
          <w:rStyle w:val="11"/>
          <w:rFonts w:hint="eastAsia"/>
        </w:rPr>
        <w:t>1</w:t>
      </w:r>
      <w:r>
        <w:rPr>
          <w:rStyle w:val="11"/>
        </w:rPr>
        <w:t>.报名</w:t>
      </w:r>
      <w:r>
        <w:rPr>
          <w:rStyle w:val="11"/>
          <w:rFonts w:hint="eastAsia"/>
          <w:lang w:eastAsia="zh-CN"/>
        </w:rPr>
        <w:t>方式</w:t>
      </w:r>
    </w:p>
    <w:p w14:paraId="6EC6F002">
      <w:pPr>
        <w:pStyle w:val="7"/>
        <w:wordWrap w:val="0"/>
        <w:spacing w:before="0" w:beforeAutospacing="0" w:after="0" w:afterAutospacing="0" w:line="360" w:lineRule="auto"/>
        <w:ind w:firstLine="482"/>
      </w:pPr>
      <w:r>
        <w:t>(1)填写报名表：</w:t>
      </w:r>
      <w:r>
        <w:rPr>
          <w:rFonts w:hint="eastAsia"/>
          <w:lang w:eastAsia="zh-CN"/>
        </w:rPr>
        <w:t>填写</w:t>
      </w:r>
      <w:r>
        <w:t>《</w:t>
      </w:r>
      <w:r>
        <w:rPr>
          <w:rFonts w:hint="eastAsia"/>
        </w:rPr>
        <w:t>三明学院微专业修读申请表</w:t>
      </w:r>
      <w:r>
        <w:t>》</w:t>
      </w:r>
      <w:r>
        <w:rPr>
          <w:rFonts w:hint="eastAsia"/>
          <w:lang w:eastAsia="zh-CN"/>
        </w:rPr>
        <w:t>。表格见《</w:t>
      </w:r>
      <w:r>
        <w:rPr>
          <w:rFonts w:hint="eastAsia"/>
        </w:rPr>
        <w:t>关于做好202</w:t>
      </w:r>
      <w:r>
        <w:rPr>
          <w:rFonts w:hint="eastAsia"/>
          <w:lang w:val="en-US" w:eastAsia="zh-CN"/>
        </w:rPr>
        <w:t>6</w:t>
      </w:r>
      <w:r>
        <w:rPr>
          <w:rFonts w:hint="eastAsia"/>
        </w:rPr>
        <w:t>年微专业学生报名工作的通知</w:t>
      </w:r>
      <w:r>
        <w:rPr>
          <w:rFonts w:hint="eastAsia"/>
          <w:lang w:eastAsia="zh-CN"/>
        </w:rPr>
        <w:t>》</w:t>
      </w:r>
      <w:r>
        <w:t>。</w:t>
      </w:r>
    </w:p>
    <w:p w14:paraId="114A1711">
      <w:pPr>
        <w:spacing w:line="360" w:lineRule="auto"/>
        <w:ind w:firstLine="480" w:firstLineChars="200"/>
        <w:rPr>
          <w:rFonts w:hint="default" w:ascii="宋体" w:hAnsi="宋体" w:eastAsia="宋体" w:cs="宋体"/>
          <w:kern w:val="0"/>
          <w:sz w:val="24"/>
          <w:szCs w:val="24"/>
          <w:lang w:val="en-US" w:eastAsia="zh-CN"/>
        </w:rPr>
      </w:pPr>
      <w:r>
        <w:rPr>
          <w:rFonts w:ascii="宋体" w:hAnsi="宋体" w:eastAsia="宋体" w:cs="宋体"/>
          <w:kern w:val="0"/>
          <w:sz w:val="24"/>
          <w:szCs w:val="24"/>
        </w:rPr>
        <w:t>(</w:t>
      </w:r>
      <w:r>
        <w:rPr>
          <w:rFonts w:hint="eastAsia" w:ascii="宋体" w:hAnsi="宋体" w:eastAsia="宋体" w:cs="宋体"/>
          <w:kern w:val="0"/>
          <w:sz w:val="24"/>
          <w:szCs w:val="24"/>
          <w:lang w:val="en-US" w:eastAsia="zh-CN"/>
        </w:rPr>
        <w:t>2</w:t>
      </w:r>
      <w:r>
        <w:rPr>
          <w:rFonts w:ascii="宋体" w:hAnsi="宋体" w:eastAsia="宋体" w:cs="宋体"/>
          <w:kern w:val="0"/>
          <w:sz w:val="24"/>
          <w:szCs w:val="24"/>
        </w:rPr>
        <w:t>)学生提交报名表至</w:t>
      </w:r>
      <w:r>
        <w:rPr>
          <w:rFonts w:hint="eastAsia" w:ascii="宋体" w:hAnsi="宋体" w:cs="宋体"/>
          <w:kern w:val="0"/>
          <w:sz w:val="24"/>
          <w:szCs w:val="24"/>
          <w:lang w:val="en-US" w:eastAsia="zh-CN"/>
        </w:rPr>
        <w:t>海外</w:t>
      </w:r>
      <w:r>
        <w:rPr>
          <w:rFonts w:hint="eastAsia" w:ascii="宋体" w:hAnsi="宋体" w:eastAsia="宋体" w:cs="宋体"/>
          <w:kern w:val="0"/>
          <w:sz w:val="24"/>
          <w:szCs w:val="24"/>
        </w:rPr>
        <w:t>学院</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外国语学院</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bidi="ar-SA"/>
        </w:rPr>
        <w:t>教务科办公室C104。</w:t>
      </w:r>
    </w:p>
    <w:p w14:paraId="3CA4FAB4">
      <w:pPr>
        <w:pStyle w:val="7"/>
        <w:spacing w:before="0" w:beforeAutospacing="0" w:after="0" w:afterAutospacing="0" w:line="360" w:lineRule="auto"/>
        <w:ind w:firstLine="482" w:firstLineChars="200"/>
        <w:rPr>
          <w:rStyle w:val="11"/>
          <w:rFonts w:hint="eastAsia" w:asciiTheme="minorHAnsi" w:hAnsiTheme="minorHAnsi" w:eastAsiaTheme="minorEastAsia" w:cstheme="minorBidi"/>
        </w:rPr>
      </w:pPr>
      <w:r>
        <w:rPr>
          <w:rStyle w:val="11"/>
          <w:rFonts w:hint="eastAsia"/>
          <w:lang w:val="en-US" w:eastAsia="zh-CN"/>
        </w:rPr>
        <w:t>2</w:t>
      </w:r>
      <w:r>
        <w:rPr>
          <w:rStyle w:val="11"/>
        </w:rPr>
        <w:t>.</w:t>
      </w:r>
      <w:r>
        <w:rPr>
          <w:rStyle w:val="11"/>
          <w:rFonts w:hint="eastAsia" w:asciiTheme="minorHAnsi" w:hAnsiTheme="minorHAnsi" w:eastAsiaTheme="minorEastAsia" w:cstheme="minorBidi"/>
        </w:rPr>
        <w:t>报名时间</w:t>
      </w:r>
    </w:p>
    <w:p w14:paraId="5BDBE9E1">
      <w:pPr>
        <w:pStyle w:val="7"/>
        <w:pBdr>
          <w:top w:val="none" w:color="auto" w:sz="0" w:space="0"/>
          <w:left w:val="none" w:color="auto" w:sz="0" w:space="0"/>
          <w:bottom w:val="none" w:color="auto" w:sz="0" w:space="0"/>
          <w:right w:val="none" w:color="auto" w:sz="0" w:space="0"/>
          <w:between w:val="none" w:color="auto" w:sz="0" w:space="0"/>
        </w:pBdr>
        <w:wordWrap w:val="0"/>
        <w:spacing w:before="0" w:beforeAutospacing="0" w:after="0" w:afterAutospacing="0" w:line="360" w:lineRule="auto"/>
        <w:ind w:firstLine="482"/>
        <w:rPr>
          <w:rFonts w:hint="eastAsia"/>
          <w:lang w:eastAsia="zh-CN"/>
        </w:rPr>
      </w:pPr>
      <w:r>
        <w:rPr>
          <w:rFonts w:hint="eastAsia"/>
          <w:color w:val="0000FF"/>
          <w:lang w:val="en-US" w:eastAsia="zh-CN"/>
        </w:rPr>
        <w:t>即日起至11月11日中午12:00</w:t>
      </w:r>
      <w:r>
        <w:rPr>
          <w:rFonts w:hint="eastAsia"/>
          <w:lang w:eastAsia="zh-CN"/>
        </w:rPr>
        <w:t>。</w:t>
      </w:r>
    </w:p>
    <w:p w14:paraId="62C4BACF">
      <w:pPr>
        <w:pStyle w:val="7"/>
        <w:spacing w:before="0" w:beforeAutospacing="0" w:after="0" w:afterAutospacing="0" w:line="360" w:lineRule="auto"/>
        <w:ind w:firstLine="482" w:firstLineChars="200"/>
      </w:pPr>
      <w:bookmarkStart w:id="0" w:name="_GoBack"/>
      <w:bookmarkEnd w:id="0"/>
      <w:r>
        <w:rPr>
          <w:rStyle w:val="11"/>
          <w:rFonts w:hint="eastAsia"/>
          <w:lang w:val="en-US" w:eastAsia="zh-CN"/>
        </w:rPr>
        <w:t>3.</w:t>
      </w:r>
      <w:r>
        <w:rPr>
          <w:rStyle w:val="11"/>
        </w:rPr>
        <w:t>报名咨询</w:t>
      </w:r>
    </w:p>
    <w:p w14:paraId="1F83F233">
      <w:pPr>
        <w:pStyle w:val="7"/>
        <w:spacing w:before="0" w:beforeAutospacing="0" w:after="0" w:afterAutospacing="0" w:line="360" w:lineRule="auto"/>
        <w:ind w:firstLine="480" w:firstLineChars="0"/>
        <w:rPr>
          <w:rFonts w:hint="eastAsia" w:eastAsia="宋体"/>
          <w:lang w:eastAsia="zh-CN"/>
        </w:rPr>
      </w:pPr>
      <w:r>
        <w:rPr>
          <w:rFonts w:hint="eastAsia"/>
          <w:lang w:val="en-US" w:eastAsia="zh-CN"/>
        </w:rPr>
        <w:t>QQ群：162590913</w:t>
      </w:r>
      <w:r>
        <w:rPr>
          <w:rFonts w:hint="eastAsia"/>
          <w:lang w:eastAsia="zh-CN"/>
        </w:rPr>
        <w:t>（进群备注学号+姓名）</w:t>
      </w:r>
    </w:p>
    <w:p w14:paraId="1BB3E8F4">
      <w:pPr>
        <w:pStyle w:val="7"/>
        <w:spacing w:before="0" w:beforeAutospacing="0" w:after="0" w:afterAutospacing="0" w:line="360" w:lineRule="auto"/>
        <w:ind w:firstLine="482" w:firstLineChars="200"/>
        <w:rPr>
          <w:rStyle w:val="11"/>
          <w:rFonts w:hint="default" w:eastAsia="宋体"/>
          <w:lang w:val="en-US" w:eastAsia="zh-CN"/>
        </w:rPr>
      </w:pPr>
      <w:r>
        <w:rPr>
          <w:rStyle w:val="11"/>
          <w:rFonts w:hint="eastAsia"/>
          <w:lang w:val="en-US" w:eastAsia="zh-CN"/>
        </w:rPr>
        <w:t>4.缴费说明</w:t>
      </w:r>
    </w:p>
    <w:p w14:paraId="3C6C7836">
      <w:pPr>
        <w:pStyle w:val="7"/>
        <w:spacing w:before="0" w:beforeAutospacing="0" w:after="0" w:afterAutospacing="0" w:line="360" w:lineRule="auto"/>
        <w:ind w:firstLine="482" w:firstLineChars="200"/>
      </w:pPr>
      <w:r>
        <w:rPr>
          <w:rStyle w:val="11"/>
          <w:rFonts w:hint="eastAsia"/>
          <w:lang w:eastAsia="zh-CN"/>
        </w:rPr>
        <w:t>本微专业</w:t>
      </w:r>
      <w:r>
        <w:rPr>
          <w:rStyle w:val="11"/>
          <w:rFonts w:hint="eastAsia"/>
          <w:lang w:val="en-US" w:eastAsia="zh-CN"/>
        </w:rPr>
        <w:t>收费标准为100元/学分，学费共计1300元（13学分）。</w:t>
      </w:r>
      <w:r>
        <w:t>学生需</w:t>
      </w:r>
      <w:r>
        <w:rPr>
          <w:rFonts w:hint="eastAsia"/>
          <w:lang w:eastAsia="zh-CN"/>
        </w:rPr>
        <w:t>在每学期开学初</w:t>
      </w:r>
      <w:r>
        <w:t>一次性缴清</w:t>
      </w:r>
      <w:r>
        <w:rPr>
          <w:rFonts w:hint="eastAsia"/>
          <w:lang w:eastAsia="zh-CN"/>
        </w:rPr>
        <w:t>当前学期学费，具体缴费方式于录取后另行通知</w:t>
      </w:r>
      <w:r>
        <w:t>。</w:t>
      </w:r>
    </w:p>
    <w:p w14:paraId="014AFF6B">
      <w:pPr>
        <w:pStyle w:val="7"/>
        <w:numPr>
          <w:ilvl w:val="0"/>
          <w:numId w:val="2"/>
        </w:numPr>
        <w:spacing w:before="0" w:beforeAutospacing="0" w:after="0" w:afterAutospacing="0" w:line="360" w:lineRule="auto"/>
        <w:ind w:firstLine="482" w:firstLineChars="200"/>
        <w:rPr>
          <w:rStyle w:val="11"/>
        </w:rPr>
      </w:pPr>
      <w:r>
        <w:rPr>
          <w:rStyle w:val="11"/>
        </w:rPr>
        <w:t>上课时间</w:t>
      </w:r>
    </w:p>
    <w:p w14:paraId="5CC5D99C">
      <w:pPr>
        <w:pStyle w:val="7"/>
        <w:numPr>
          <w:ilvl w:val="0"/>
          <w:numId w:val="0"/>
        </w:numPr>
        <w:spacing w:before="0" w:beforeAutospacing="0" w:after="0" w:afterAutospacing="0" w:line="360" w:lineRule="auto"/>
        <w:ind w:firstLine="480" w:firstLineChars="200"/>
        <w:rPr>
          <w:rFonts w:hint="eastAsia" w:ascii="宋体" w:hAnsi="宋体" w:eastAsia="宋体" w:cs="仿宋_GB2312"/>
          <w:b/>
          <w:bCs/>
          <w:sz w:val="28"/>
          <w:szCs w:val="24"/>
          <w:highlight w:val="yellow"/>
        </w:rPr>
      </w:pPr>
      <w:r>
        <w:t>初步安排在周五下午、周六或周日，具体时间另行通知。</w:t>
      </w:r>
    </w:p>
    <w:p w14:paraId="6753D423">
      <w:pPr>
        <w:spacing w:before="0" w:beforeAutospacing="0" w:after="0" w:afterAutospacing="0" w:line="360" w:lineRule="auto"/>
        <w:ind w:firstLine="562" w:firstLineChars="200"/>
        <w:rPr>
          <w:rFonts w:hint="eastAsia" w:ascii="宋体" w:hAnsi="宋体" w:eastAsia="宋体" w:cs="仿宋_GB2312"/>
          <w:b/>
          <w:bCs/>
          <w:sz w:val="28"/>
          <w:szCs w:val="24"/>
          <w:lang w:eastAsia="zh-CN"/>
        </w:rPr>
      </w:pPr>
      <w:r>
        <w:rPr>
          <w:rFonts w:hint="eastAsia" w:ascii="宋体" w:hAnsi="宋体" w:eastAsia="宋体" w:cs="仿宋_GB2312"/>
          <w:b/>
          <w:bCs/>
          <w:sz w:val="28"/>
          <w:szCs w:val="24"/>
          <w:lang w:eastAsia="zh-CN"/>
        </w:rPr>
        <w:t>四、其他说明</w:t>
      </w:r>
    </w:p>
    <w:p w14:paraId="78E63D4B">
      <w:pPr>
        <w:pStyle w:val="7"/>
        <w:spacing w:before="0" w:beforeAutospacing="0" w:after="0" w:afterAutospacing="0" w:line="360" w:lineRule="auto"/>
        <w:ind w:firstLine="480"/>
        <w:rPr>
          <w:rFonts w:hint="eastAsia"/>
        </w:rPr>
      </w:pPr>
      <w:r>
        <w:rPr>
          <w:rFonts w:hint="eastAsia"/>
          <w:lang w:val="en-US" w:eastAsia="zh-CN"/>
        </w:rPr>
        <w:t>1.</w:t>
      </w:r>
      <w:r>
        <w:rPr>
          <w:rFonts w:hint="eastAsia"/>
        </w:rPr>
        <w:t>微专业课程考核不合格的学生，可以参加补考，补考不及格可申请重修。微专业课程不纳入主修平均学分绩点计算，不影响评奖评优和主修专业的毕业资格。</w:t>
      </w:r>
    </w:p>
    <w:p w14:paraId="06945011">
      <w:pPr>
        <w:pStyle w:val="7"/>
        <w:spacing w:before="0" w:beforeAutospacing="0" w:after="0" w:afterAutospacing="0" w:line="360" w:lineRule="auto"/>
        <w:ind w:firstLine="480"/>
        <w:rPr>
          <w:rFonts w:hint="eastAsia"/>
        </w:rPr>
      </w:pPr>
      <w:r>
        <w:rPr>
          <w:rFonts w:hint="eastAsia"/>
          <w:lang w:val="en-US" w:eastAsia="zh-CN"/>
        </w:rPr>
        <w:t>2.</w:t>
      </w:r>
      <w:r>
        <w:rPr>
          <w:rFonts w:hint="eastAsia"/>
        </w:rPr>
        <w:t xml:space="preserve">因学业情况变化等，学生可向开设学院提出退出申请，经开设学院审核同意后正式退出微专业。学生在主修专业修读结束时，微专业学籍自动终止。 </w:t>
      </w:r>
    </w:p>
    <w:p w14:paraId="591C566E">
      <w:pPr>
        <w:pStyle w:val="7"/>
        <w:spacing w:before="0" w:beforeAutospacing="0" w:after="0" w:afterAutospacing="0" w:line="360" w:lineRule="auto"/>
        <w:ind w:firstLine="480"/>
        <w:rPr>
          <w:rFonts w:hint="eastAsia"/>
        </w:rPr>
      </w:pPr>
      <w:r>
        <w:rPr>
          <w:rFonts w:hint="eastAsia"/>
          <w:lang w:val="en-US" w:eastAsia="zh-CN"/>
        </w:rPr>
        <w:t>3</w:t>
      </w:r>
      <w:r>
        <w:rPr>
          <w:rFonts w:hint="eastAsia"/>
        </w:rPr>
        <w:t xml:space="preserve">.学生按照微专业培养方案，修读完成所有课程，经学院审核后，报教务处审定，发放学校制作的微专业成绩单和证书。微专业证书为非学历证书。 </w:t>
      </w:r>
    </w:p>
    <w:p w14:paraId="443DB50D">
      <w:pPr>
        <w:pStyle w:val="7"/>
        <w:spacing w:before="0" w:beforeAutospacing="0" w:after="0" w:afterAutospacing="0" w:line="360" w:lineRule="auto"/>
        <w:ind w:firstLine="480"/>
        <w:rPr>
          <w:rFonts w:hint="eastAsia"/>
          <w:lang w:eastAsia="zh-CN"/>
        </w:rPr>
      </w:pPr>
      <w:r>
        <w:rPr>
          <w:rFonts w:hint="eastAsia"/>
          <w:lang w:val="en-US" w:eastAsia="zh-CN"/>
        </w:rPr>
        <w:t>4</w:t>
      </w:r>
      <w:r>
        <w:rPr>
          <w:rFonts w:hint="eastAsia"/>
        </w:rPr>
        <w:t>.所有修读取得的微专业学分可以申请认定为通识教育选修课非限选模块学分。微专业课程学习完毕后统一申请认定，参照课程修读认定程序。</w:t>
      </w:r>
    </w:p>
    <w:p w14:paraId="07D28BB9">
      <w:pPr>
        <w:spacing w:before="0" w:beforeAutospacing="0" w:after="0" w:afterAutospacing="0" w:line="360" w:lineRule="auto"/>
        <w:ind w:firstLine="562" w:firstLineChars="200"/>
        <w:rPr>
          <w:rFonts w:hint="eastAsia" w:ascii="宋体" w:hAnsi="宋体" w:eastAsia="宋体" w:cs="仿宋_GB2312"/>
          <w:b/>
          <w:bCs/>
          <w:sz w:val="28"/>
          <w:szCs w:val="24"/>
          <w:lang w:eastAsia="zh-CN"/>
        </w:rPr>
      </w:pPr>
      <w:r>
        <w:rPr>
          <w:rFonts w:hint="eastAsia" w:ascii="宋体" w:hAnsi="宋体" w:eastAsia="宋体" w:cs="仿宋_GB2312"/>
          <w:b/>
          <w:bCs/>
          <w:sz w:val="28"/>
          <w:szCs w:val="24"/>
          <w:lang w:eastAsia="zh-CN"/>
        </w:rPr>
        <w:t>五、收费管理</w:t>
      </w:r>
    </w:p>
    <w:p w14:paraId="39049138">
      <w:pPr>
        <w:pStyle w:val="7"/>
        <w:spacing w:before="0" w:beforeAutospacing="0" w:after="0" w:afterAutospacing="0" w:line="360" w:lineRule="auto"/>
        <w:ind w:firstLine="480"/>
        <w:rPr>
          <w:rFonts w:hint="eastAsia"/>
          <w:lang w:eastAsia="zh-CN"/>
        </w:rPr>
      </w:pPr>
      <w:r>
        <w:rPr>
          <w:rFonts w:hint="eastAsia"/>
          <w:lang w:eastAsia="zh-CN"/>
        </w:rPr>
        <w:t>1.微专业参照辅修专业收费标准（文管类每学分100元，理工类每学分110元，艺术类每学分150元），由开设学院协同财务处进行收费。</w:t>
      </w:r>
    </w:p>
    <w:p w14:paraId="762C2350">
      <w:pPr>
        <w:spacing w:line="360" w:lineRule="auto"/>
        <w:ind w:firstLine="480"/>
        <w:rPr>
          <w:rFonts w:hint="eastAsia" w:ascii="宋体" w:hAnsi="宋体" w:eastAsia="宋体" w:cs="宋体"/>
          <w:kern w:val="0"/>
          <w:sz w:val="24"/>
          <w:szCs w:val="24"/>
          <w:lang w:val="en-US" w:eastAsia="zh-CN"/>
        </w:rPr>
      </w:pPr>
    </w:p>
    <w:p w14:paraId="041EC8C8">
      <w:pPr>
        <w:spacing w:line="360" w:lineRule="auto"/>
        <w:ind w:firstLine="48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附件：</w:t>
      </w:r>
      <w:r>
        <w:rPr>
          <w:rFonts w:hint="eastAsia" w:ascii="宋体" w:hAnsi="宋体" w:cs="宋体"/>
          <w:kern w:val="0"/>
          <w:sz w:val="24"/>
        </w:rPr>
        <w:t>“</w:t>
      </w:r>
      <w:r>
        <w:rPr>
          <w:rFonts w:hint="eastAsia" w:ascii="宋体" w:hAnsi="宋体" w:cs="宋体"/>
          <w:kern w:val="0"/>
          <w:sz w:val="24"/>
          <w:lang w:val="en-US" w:eastAsia="zh-CN"/>
        </w:rPr>
        <w:t>跨境电商</w:t>
      </w:r>
      <w:r>
        <w:rPr>
          <w:rFonts w:hint="eastAsia" w:ascii="宋体" w:hAnsi="宋体" w:cs="宋体"/>
          <w:kern w:val="0"/>
          <w:sz w:val="24"/>
        </w:rPr>
        <w:t>”</w:t>
      </w:r>
      <w:r>
        <w:rPr>
          <w:rFonts w:hint="eastAsia" w:ascii="宋体" w:hAnsi="宋体" w:eastAsia="宋体" w:cs="宋体"/>
          <w:kern w:val="0"/>
          <w:sz w:val="24"/>
          <w:szCs w:val="24"/>
        </w:rPr>
        <w:t>微专业</w:t>
      </w:r>
      <w:r>
        <w:rPr>
          <w:rFonts w:hint="eastAsia" w:ascii="宋体" w:hAnsi="宋体" w:eastAsia="宋体" w:cs="宋体"/>
          <w:kern w:val="0"/>
          <w:sz w:val="24"/>
          <w:szCs w:val="24"/>
          <w:lang w:val="en-US" w:eastAsia="zh-CN"/>
        </w:rPr>
        <w:t>课程教学大纲</w:t>
      </w:r>
    </w:p>
    <w:p w14:paraId="442D7F87">
      <w:pPr>
        <w:spacing w:line="360" w:lineRule="auto"/>
        <w:ind w:firstLine="0"/>
        <w:rPr>
          <w:rFonts w:hint="default" w:ascii="宋体" w:hAnsi="宋体" w:eastAsia="宋体" w:cs="宋体"/>
          <w:kern w:val="0"/>
          <w:sz w:val="24"/>
          <w:szCs w:val="24"/>
          <w:lang w:val="en-US" w:eastAsia="zh-CN"/>
        </w:rPr>
      </w:pPr>
    </w:p>
    <w:p w14:paraId="4F85431D">
      <w:pPr>
        <w:wordWrap w:val="0"/>
        <w:spacing w:line="360" w:lineRule="auto"/>
        <w:ind w:firstLine="0"/>
        <w:jc w:val="right"/>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海外学院（外国语学院）</w:t>
      </w:r>
      <w:r>
        <w:rPr>
          <w:rFonts w:hint="eastAsia" w:ascii="宋体" w:hAnsi="宋体" w:cs="宋体"/>
          <w:kern w:val="0"/>
          <w:sz w:val="24"/>
          <w:szCs w:val="24"/>
          <w:lang w:val="en-US" w:eastAsia="zh-CN"/>
        </w:rPr>
        <w:tab/>
      </w:r>
      <w:r>
        <w:rPr>
          <w:rFonts w:hint="eastAsia" w:ascii="宋体" w:hAnsi="宋体" w:eastAsia="宋体" w:cs="宋体"/>
          <w:kern w:val="0"/>
          <w:sz w:val="24"/>
          <w:szCs w:val="24"/>
          <w:lang w:val="en-US" w:eastAsia="zh-CN"/>
        </w:rPr>
        <w:t xml:space="preserve"> </w:t>
      </w:r>
    </w:p>
    <w:p w14:paraId="72B9E95A">
      <w:pPr>
        <w:wordWrap w:val="0"/>
        <w:spacing w:line="360" w:lineRule="auto"/>
        <w:ind w:firstLine="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2026年6月3日    </w:t>
      </w:r>
    </w:p>
    <w:p w14:paraId="1ED6ED5D">
      <w:pPr>
        <w:jc w:val="both"/>
        <w:rPr>
          <w:b/>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D93CE1"/>
    <w:multiLevelType w:val="singleLevel"/>
    <w:tmpl w:val="ABD93CE1"/>
    <w:lvl w:ilvl="0" w:tentative="0">
      <w:start w:val="5"/>
      <w:numFmt w:val="decimal"/>
      <w:suff w:val="nothing"/>
      <w:lvlText w:val="%1．"/>
      <w:lvlJc w:val="left"/>
    </w:lvl>
  </w:abstractNum>
  <w:abstractNum w:abstractNumId="1">
    <w:nsid w:val="6627455D"/>
    <w:multiLevelType w:val="multilevel"/>
    <w:tmpl w:val="6627455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8C0D3A"/>
    <w:rsid w:val="000367A6"/>
    <w:rsid w:val="000F430B"/>
    <w:rsid w:val="00106137"/>
    <w:rsid w:val="00115A48"/>
    <w:rsid w:val="001B0C51"/>
    <w:rsid w:val="00222CE9"/>
    <w:rsid w:val="002465C9"/>
    <w:rsid w:val="0027164B"/>
    <w:rsid w:val="003233D8"/>
    <w:rsid w:val="00332405"/>
    <w:rsid w:val="00351818"/>
    <w:rsid w:val="003A0A64"/>
    <w:rsid w:val="003F3E70"/>
    <w:rsid w:val="003F58D6"/>
    <w:rsid w:val="004043C0"/>
    <w:rsid w:val="00406F09"/>
    <w:rsid w:val="00442B60"/>
    <w:rsid w:val="005966E4"/>
    <w:rsid w:val="005C3F87"/>
    <w:rsid w:val="005D0349"/>
    <w:rsid w:val="00640C72"/>
    <w:rsid w:val="006E07F2"/>
    <w:rsid w:val="007D5BE9"/>
    <w:rsid w:val="00815F89"/>
    <w:rsid w:val="00832F6E"/>
    <w:rsid w:val="0083465B"/>
    <w:rsid w:val="008829A7"/>
    <w:rsid w:val="00895893"/>
    <w:rsid w:val="008A4706"/>
    <w:rsid w:val="008C0D3A"/>
    <w:rsid w:val="008C6956"/>
    <w:rsid w:val="008F7DFA"/>
    <w:rsid w:val="00931C36"/>
    <w:rsid w:val="00933322"/>
    <w:rsid w:val="00954F95"/>
    <w:rsid w:val="00966C14"/>
    <w:rsid w:val="009E5DFD"/>
    <w:rsid w:val="00A94805"/>
    <w:rsid w:val="00B2216F"/>
    <w:rsid w:val="00B64409"/>
    <w:rsid w:val="00BE53CF"/>
    <w:rsid w:val="00C01D24"/>
    <w:rsid w:val="00C67F1A"/>
    <w:rsid w:val="00CB0FE2"/>
    <w:rsid w:val="00D4189A"/>
    <w:rsid w:val="00D9336E"/>
    <w:rsid w:val="00DC2412"/>
    <w:rsid w:val="00E523DE"/>
    <w:rsid w:val="00E72604"/>
    <w:rsid w:val="00EB1BD6"/>
    <w:rsid w:val="00EC089B"/>
    <w:rsid w:val="00EC41F8"/>
    <w:rsid w:val="00ED2F6F"/>
    <w:rsid w:val="00F12929"/>
    <w:rsid w:val="00FA4990"/>
    <w:rsid w:val="03294721"/>
    <w:rsid w:val="03407427"/>
    <w:rsid w:val="04C904B8"/>
    <w:rsid w:val="071A65B6"/>
    <w:rsid w:val="075E313A"/>
    <w:rsid w:val="093A25D5"/>
    <w:rsid w:val="0A9F4195"/>
    <w:rsid w:val="0C665113"/>
    <w:rsid w:val="0D621ACA"/>
    <w:rsid w:val="0E4A266A"/>
    <w:rsid w:val="16674A96"/>
    <w:rsid w:val="17F25503"/>
    <w:rsid w:val="195A7040"/>
    <w:rsid w:val="19EE4CA1"/>
    <w:rsid w:val="1AB42842"/>
    <w:rsid w:val="1E4B36C6"/>
    <w:rsid w:val="1E6C1E29"/>
    <w:rsid w:val="1FEE6B7D"/>
    <w:rsid w:val="2068199F"/>
    <w:rsid w:val="207F6E5F"/>
    <w:rsid w:val="21DA565B"/>
    <w:rsid w:val="26EE4083"/>
    <w:rsid w:val="27F16706"/>
    <w:rsid w:val="28B65BBF"/>
    <w:rsid w:val="2B8A299D"/>
    <w:rsid w:val="2E09254C"/>
    <w:rsid w:val="3255605E"/>
    <w:rsid w:val="331A0DAB"/>
    <w:rsid w:val="333A0650"/>
    <w:rsid w:val="334119DE"/>
    <w:rsid w:val="360C151B"/>
    <w:rsid w:val="3814146F"/>
    <w:rsid w:val="4B7122DD"/>
    <w:rsid w:val="515554B5"/>
    <w:rsid w:val="52F716D3"/>
    <w:rsid w:val="533F163E"/>
    <w:rsid w:val="56332FB1"/>
    <w:rsid w:val="57274A6D"/>
    <w:rsid w:val="5F8A482B"/>
    <w:rsid w:val="616552FD"/>
    <w:rsid w:val="620D2995"/>
    <w:rsid w:val="66510FA8"/>
    <w:rsid w:val="66991415"/>
    <w:rsid w:val="6707301E"/>
    <w:rsid w:val="6AE85CC0"/>
    <w:rsid w:val="6E4C2A0A"/>
    <w:rsid w:val="6F2546F4"/>
    <w:rsid w:val="745C2E49"/>
    <w:rsid w:val="79E24222"/>
    <w:rsid w:val="7A6A40CD"/>
    <w:rsid w:val="7ADE14A2"/>
    <w:rsid w:val="7E47101A"/>
    <w:rsid w:val="7E881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autoRedefine/>
    <w:qFormat/>
    <w:uiPriority w:val="9"/>
    <w:pPr>
      <w:keepNext/>
      <w:keepLines/>
      <w:spacing w:before="340" w:after="330" w:line="578" w:lineRule="auto"/>
      <w:outlineLvl w:val="0"/>
    </w:pPr>
    <w:rPr>
      <w:b/>
      <w:bCs/>
      <w:kern w:val="44"/>
      <w:sz w:val="44"/>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4"/>
    <w:semiHidden/>
    <w:unhideWhenUsed/>
    <w:qFormat/>
    <w:uiPriority w:val="99"/>
    <w:rPr>
      <w:sz w:val="18"/>
      <w:szCs w:val="18"/>
    </w:rPr>
  </w:style>
  <w:style w:type="paragraph" w:styleId="5">
    <w:name w:val="footer"/>
    <w:basedOn w:val="1"/>
    <w:link w:val="16"/>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5"/>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autoRedefine/>
    <w:qFormat/>
    <w:uiPriority w:val="22"/>
    <w:rPr>
      <w:b/>
      <w:bCs/>
    </w:rPr>
  </w:style>
  <w:style w:type="character" w:customStyle="1" w:styleId="12">
    <w:name w:val="标题 1 Char"/>
    <w:basedOn w:val="10"/>
    <w:link w:val="2"/>
    <w:autoRedefine/>
    <w:qFormat/>
    <w:uiPriority w:val="9"/>
    <w:rPr>
      <w:b/>
      <w:bCs/>
      <w:kern w:val="44"/>
      <w:sz w:val="44"/>
      <w:szCs w:val="44"/>
    </w:rPr>
  </w:style>
  <w:style w:type="paragraph" w:styleId="13">
    <w:name w:val="List Paragraph"/>
    <w:basedOn w:val="1"/>
    <w:autoRedefine/>
    <w:qFormat/>
    <w:uiPriority w:val="34"/>
    <w:pPr>
      <w:ind w:firstLine="420" w:firstLineChars="200"/>
    </w:pPr>
  </w:style>
  <w:style w:type="character" w:customStyle="1" w:styleId="14">
    <w:name w:val="批注框文本 Char"/>
    <w:basedOn w:val="10"/>
    <w:link w:val="4"/>
    <w:autoRedefine/>
    <w:semiHidden/>
    <w:qFormat/>
    <w:uiPriority w:val="99"/>
    <w:rPr>
      <w:sz w:val="18"/>
      <w:szCs w:val="18"/>
    </w:rPr>
  </w:style>
  <w:style w:type="character" w:customStyle="1" w:styleId="15">
    <w:name w:val="页眉 Char"/>
    <w:basedOn w:val="10"/>
    <w:link w:val="6"/>
    <w:autoRedefine/>
    <w:semiHidden/>
    <w:qFormat/>
    <w:uiPriority w:val="99"/>
    <w:rPr>
      <w:sz w:val="18"/>
      <w:szCs w:val="18"/>
    </w:rPr>
  </w:style>
  <w:style w:type="character" w:customStyle="1" w:styleId="16">
    <w:name w:val="页脚 Char"/>
    <w:basedOn w:val="10"/>
    <w:link w:val="5"/>
    <w:autoRedefine/>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1734</Words>
  <Characters>1847</Characters>
  <Lines>9</Lines>
  <Paragraphs>2</Paragraphs>
  <TotalTime>0</TotalTime>
  <ScaleCrop>false</ScaleCrop>
  <LinksUpToDate>false</LinksUpToDate>
  <CharactersWithSpaces>1874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2024-02-19T07:59:00Z</dcterms:created>
  <dc:creator>微软用户</dc:creator>
  <cp:lastModifiedBy>卧思憨人</cp:lastModifiedBy>
  <dcterms:modified xsi:type="dcterms:W3CDTF">2026-10-28T03:22:27Z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F83B45EC0F1A4292A6327D208251E5EF_13</vt:lpwstr>
  </property>
  <property fmtid="{D5CDD505-2E9C-101B-9397-08002B2CF9AE}" pid="4" name="KSOTemplateDocerSaveRecord">
    <vt:lpwstr>eyJoZGlkIjoiNmViYWY1Y2NkOGU0MmIyODMzOWFmYmEwMzJhNjRlNjYiLCJ1c2VySWQiOiIzNzg1MjIyNzcifQ==</vt:lpwstr>
  </property>
</Properties>
</file>