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三明学院</w:t>
      </w:r>
      <w:r>
        <w:rPr>
          <w:rStyle w:val="5"/>
          <w:rFonts w:hint="default" w:ascii="Times New Roman" w:hAnsi="Times New Roman" w:eastAsia="仿宋_GB2312" w:cs="Times New Roman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Style w:val="5"/>
          <w:rFonts w:hint="eastAsia" w:ascii="Times New Roman" w:hAnsi="Times New Roman" w:eastAsia="仿宋_GB2312" w:cs="Times New Roman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Style w:val="5"/>
          <w:rFonts w:hint="default" w:ascii="Times New Roman" w:hAnsi="Times New Roman" w:eastAsia="仿宋_GB2312" w:cs="Times New Roman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毕业生评选办法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Evaluation System of Outstanding International Graduate of 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Sanming 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/>
          <w14:textFill>
            <w14:solidFill>
              <w14:schemeClr w14:val="tx1"/>
            </w14:solidFill>
          </w14:textFill>
        </w:rPr>
        <w:t>University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为鼓励先进、树立典型、营造浓厚的育人成才氛围，激励我校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勤奋学习、积极进取，特制订《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三明学院国际学生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优秀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毕业生评选办法》。具体要求如下：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In order to set up advanced typical models and make better use of the function created by demonstration education and encourage the international students to study assiduously and actively, 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Evaluation System of International Outstanding Graduate of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Sanming </w:t>
      </w: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University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is specially made. The details of selection scheme are as follows: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一、评选对象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评选范围为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三明学院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应届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毕业生，秋季学期于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日前能够顺利完成学业并取得学士学位的应届毕业生，评选比例原则上不超过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应届毕业生总人数的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0%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I. Sphere of Evaluation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The evaluation target includes the current year’s graduates, consisting of the students who successfully complete the bachel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or degree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before Jun. 30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 in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fall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semester. The students with the title of International Outstanding Graduate should be no more than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0% of the graduates’ general number.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二、申请条件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遵守中华人民共和国法律法规及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三明学院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各项规章制度，品德优秀，行为规范；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对中国友好，尊重中国风俗习惯，维护和增进各国学生之间的友谊和团结；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学习刻苦，成绩优良，有较强实践能力和创新精神；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尊师爱校，团结同学，关心集体，积极参加学校和学院组织的各类活动；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在校期间未受校内、校外处分，没有任何不良记录；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同等条件下获得过奖励、公开发表过学术论文或为学校赢得过荣誉者优先考虑。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II. Requirements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1. Abide by the laws and regulations of the People's Republic of China and the rules and regulations of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Sanming University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, with excellent moral character and code of conduct;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2. Friendly to China, respectful to Chinese customs and habits, with friendship and solidarity among students from all countries;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3. Study assiduously, perform excellently with strong practical ability and innovative spirit;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4. Respect teachers and love the school, unite students, care about the collective matters, and actively participate in various activities organized by the school and the college;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5. During the period of schooling, he has not been punished inside or outside school, and there shall be no bad record;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6. Those who have won awards, published academic papers or won honors for the school are preferred.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三、评价标准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综合得分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学业评价得分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*60%+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综合素质评价得分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*40%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根据综合得分排名择优选取“优秀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毕业生”获得者。综合量化评分体系如下：</w:t>
      </w:r>
    </w:p>
    <w:tbl>
      <w:tblPr>
        <w:tblStyle w:val="3"/>
        <w:tblW w:w="10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2655"/>
        <w:gridCol w:w="3522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学业评价</w:t>
            </w: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在校期间平均学分绩点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GPA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GPA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汉语水平考试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HSK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通过等级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综合素质评价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奖学金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校单项奖学金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校奖学金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一等：25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二等：20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三等：15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省政府奖学金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学术竞赛获奖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校级竞赛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省级竞赛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国家级竞赛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国际学生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管理老师评价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III. Evaluation Standard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General Score=Academic Performance*60% + Comprehensive Performance*40%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International Outstanding Student should be selected according to his rank in the evaluation of the following chart.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2693"/>
        <w:gridCol w:w="3099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Academic Performance</w:t>
            </w: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GPA in the   Academic Period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GPA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GPA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3.9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Hanyu Shuiping   Kaoshi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HSK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Comprehensive Performance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Scholarship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Score /Each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School Individual Scholarship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School Scholarship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1st Level 25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2nd Level 20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3rd Level 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Provincial Scholarship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Winning in  Academic Competition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Score /Each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School Level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Provincial Level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National Level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Remarks from SIE   Staff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四、评选程序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28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1. 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发布评选通知：发布评选通知，给应届毕业生讲解评价办法。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28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2. 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学业评价阶段：导出、上传所有评选对象学生的成绩；收集填写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HSK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3. 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综合素质评价阶段：收集填写学生奖学金以及竞赛获奖情况；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管理老师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线上填写学生评价等级。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8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．材料汇总、评选、公示阶段：汇总各项得分并进行毕业生的评定、公示工作。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IV. Evaluation Process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1. Issue evaluation notice: Supervisors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shall issue the notice; supervisors shall illustrate the evaluation process to graduates.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2. Academic performance evaluation stage: Supervisors shall export and upload the students’ GPA and HSK information.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3. Comprehensive performance evaluation stage: Supervisors shall collect the students’ scholarship and competition history; supervisors shall fill the grade upon students.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4. Materials collection, evaluation and publicizing period: Supervisor is responsible for the general score calculation, evaluation and publicizing.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五、奖励及其他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学校对优秀毕业生进行表彰，授予“优秀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国际学生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毕业生”荣誉称号。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V. Awards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>University will grant Outstanding International Graduate certificate to the Award-winner.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六、本办法由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三明学院海外学院（外国语学院）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VI. 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The overseas school</w:t>
      </w:r>
      <w:r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is responsible for the explanation of this document.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C4599"/>
    <w:rsid w:val="1B450B23"/>
    <w:rsid w:val="2A5D17CE"/>
    <w:rsid w:val="2FE83709"/>
    <w:rsid w:val="48092F1C"/>
    <w:rsid w:val="5BF5024B"/>
    <w:rsid w:val="6A8E2FD1"/>
    <w:rsid w:val="6DAC4599"/>
    <w:rsid w:val="6EE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2020-05-06T09:12:00Z</dcterms:created>
  <dc:creator>蒋永远Jack</dc:creator>
  <cp:lastModifiedBy>蒋永远Jack</cp:lastModifiedBy>
  <dcterms:modified xsi:type="dcterms:W3CDTF">2020-05-06T09:47:00Z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